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96470" w:rsidRPr="00EF0340" w:rsidRDefault="00562CE6">
      <w:pPr>
        <w:tabs>
          <w:tab w:val="center" w:pos="4536"/>
          <w:tab w:val="right" w:pos="9639"/>
        </w:tabs>
        <w:spacing w:beforeLines="0" w:after="120" w:line="240" w:lineRule="auto"/>
        <w:ind w:right="2"/>
        <w:rPr>
          <w:rFonts w:ascii="Arial" w:hAnsi="Arial" w:cs="Arial"/>
          <w:b/>
          <w:bCs/>
          <w:sz w:val="22"/>
          <w:szCs w:val="22"/>
        </w:rPr>
      </w:pPr>
      <w:r w:rsidRPr="00EF0340">
        <w:rPr>
          <w:rFonts w:ascii="Arial" w:hAnsi="Arial" w:cs="Arial"/>
          <w:b/>
          <w:bCs/>
          <w:sz w:val="22"/>
          <w:szCs w:val="22"/>
        </w:rPr>
        <w:t xml:space="preserve">3GPP TSG RAN WG1 </w:t>
      </w:r>
      <w:r w:rsidRPr="00EF0340">
        <w:rPr>
          <w:rFonts w:ascii="Arial" w:hAnsi="Arial" w:cs="Arial" w:hint="eastAsia"/>
          <w:b/>
          <w:bCs/>
          <w:sz w:val="22"/>
          <w:szCs w:val="22"/>
        </w:rPr>
        <w:t>#98bis</w:t>
      </w:r>
      <w:r w:rsidRPr="00EF0340">
        <w:rPr>
          <w:rFonts w:ascii="Arial" w:hAnsi="Arial" w:cs="Arial"/>
          <w:b/>
          <w:bCs/>
          <w:sz w:val="22"/>
          <w:szCs w:val="22"/>
        </w:rPr>
        <w:tab/>
      </w:r>
      <w:r w:rsidRPr="00EF0340">
        <w:rPr>
          <w:rFonts w:ascii="Arial" w:hAnsi="Arial" w:cs="Arial"/>
          <w:b/>
          <w:bCs/>
          <w:sz w:val="22"/>
          <w:szCs w:val="22"/>
        </w:rPr>
        <w:tab/>
      </w:r>
      <w:r w:rsidR="00EF0340" w:rsidRPr="00EF0340">
        <w:rPr>
          <w:rFonts w:ascii="Arial" w:hAnsi="Arial" w:cs="Arial"/>
          <w:b/>
          <w:bCs/>
          <w:sz w:val="22"/>
          <w:szCs w:val="22"/>
        </w:rPr>
        <w:t>R1-1910297</w:t>
      </w:r>
    </w:p>
    <w:p w:rsidR="00096470" w:rsidRDefault="00562CE6">
      <w:pPr>
        <w:tabs>
          <w:tab w:val="center" w:pos="4536"/>
          <w:tab w:val="right" w:pos="9639"/>
        </w:tabs>
        <w:spacing w:beforeLines="0" w:after="120" w:line="240" w:lineRule="auto"/>
        <w:ind w:right="2"/>
        <w:rPr>
          <w:rFonts w:ascii="Arial" w:hAnsi="Arial" w:cs="Arial"/>
          <w:b/>
          <w:bCs/>
          <w:sz w:val="22"/>
          <w:szCs w:val="22"/>
        </w:rPr>
      </w:pPr>
      <w:r>
        <w:rPr>
          <w:rFonts w:ascii="Arial" w:hAnsi="Arial" w:cs="Arial"/>
          <w:b/>
          <w:bCs/>
          <w:sz w:val="22"/>
          <w:szCs w:val="22"/>
          <w:lang w:val="en-GB"/>
        </w:rPr>
        <w:t>Chongqing, China</w:t>
      </w:r>
      <w:r>
        <w:rPr>
          <w:rFonts w:ascii="Arial" w:hAnsi="Arial" w:cs="Arial"/>
          <w:b/>
          <w:bCs/>
          <w:sz w:val="22"/>
          <w:szCs w:val="22"/>
        </w:rPr>
        <w:t xml:space="preserve">, </w:t>
      </w:r>
      <w:r>
        <w:rPr>
          <w:rFonts w:ascii="Arial" w:hAnsi="Arial" w:cs="Arial"/>
          <w:b/>
          <w:bCs/>
          <w:sz w:val="22"/>
          <w:szCs w:val="22"/>
          <w:lang w:val="en-GB"/>
        </w:rPr>
        <w:t>October</w:t>
      </w:r>
      <w:r>
        <w:rPr>
          <w:rFonts w:ascii="Arial" w:hAnsi="Arial" w:cs="Arial"/>
          <w:b/>
          <w:bCs/>
          <w:sz w:val="22"/>
          <w:szCs w:val="22"/>
        </w:rPr>
        <w:t xml:space="preserve"> 14th - 20th,</w:t>
      </w:r>
      <w:r>
        <w:rPr>
          <w:rFonts w:ascii="Arial" w:hAnsi="Arial" w:cs="Arial"/>
          <w:b/>
          <w:bCs/>
          <w:sz w:val="22"/>
          <w:szCs w:val="22"/>
          <w:lang w:val="en-GB"/>
        </w:rPr>
        <w:t xml:space="preserve"> 2019</w:t>
      </w:r>
      <w:bookmarkStart w:id="0" w:name="_GoBack"/>
      <w:bookmarkEnd w:id="0"/>
    </w:p>
    <w:p w:rsidR="00096470" w:rsidRDefault="00096470">
      <w:pPr>
        <w:tabs>
          <w:tab w:val="center" w:pos="4536"/>
          <w:tab w:val="right" w:pos="9639"/>
        </w:tabs>
        <w:spacing w:beforeLines="0" w:after="120" w:line="240" w:lineRule="auto"/>
        <w:ind w:right="2"/>
        <w:rPr>
          <w:rFonts w:ascii="Arial" w:hAnsi="Arial" w:cs="Arial"/>
          <w:b/>
          <w:bCs/>
          <w:sz w:val="22"/>
          <w:szCs w:val="22"/>
        </w:rPr>
      </w:pPr>
    </w:p>
    <w:p w:rsidR="00096470" w:rsidRDefault="00562CE6" w:rsidP="00024AB6">
      <w:pPr>
        <w:tabs>
          <w:tab w:val="left" w:pos="1985"/>
        </w:tabs>
        <w:spacing w:beforeLines="10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 xml:space="preserve">NR </w:t>
      </w:r>
      <w:r>
        <w:rPr>
          <w:rFonts w:ascii="Arial" w:hAnsi="Arial"/>
          <w:b/>
          <w:sz w:val="22"/>
          <w:szCs w:val="22"/>
        </w:rPr>
        <w:t>s</w:t>
      </w:r>
      <w:r>
        <w:rPr>
          <w:rFonts w:ascii="Arial" w:hAnsi="Arial" w:hint="eastAsia"/>
          <w:b/>
          <w:sz w:val="22"/>
          <w:szCs w:val="22"/>
        </w:rPr>
        <w:t xml:space="preserve">idelink </w:t>
      </w:r>
      <w:r>
        <w:rPr>
          <w:rFonts w:ascii="Arial" w:hAnsi="Arial"/>
          <w:b/>
          <w:sz w:val="22"/>
          <w:szCs w:val="22"/>
        </w:rPr>
        <w:t>p</w:t>
      </w:r>
      <w:r>
        <w:rPr>
          <w:rFonts w:ascii="Arial" w:hAnsi="Arial" w:hint="eastAsia"/>
          <w:b/>
          <w:sz w:val="22"/>
          <w:szCs w:val="22"/>
        </w:rPr>
        <w:t>hysical layer structure</w:t>
      </w:r>
    </w:p>
    <w:p w:rsidR="00096470" w:rsidRDefault="00562CE6">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 Sanechips</w:t>
      </w:r>
    </w:p>
    <w:p w:rsidR="00096470" w:rsidRDefault="00562CE6">
      <w:pPr>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7.2.4.1</w:t>
      </w:r>
    </w:p>
    <w:p w:rsidR="00096470" w:rsidRDefault="00562CE6">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096470" w:rsidRDefault="00562CE6">
      <w:pPr>
        <w:pStyle w:val="Heading1"/>
        <w:spacing w:before="120" w:after="120"/>
        <w:ind w:left="0"/>
        <w:rPr>
          <w:rFonts w:eastAsia="SimSun"/>
        </w:rPr>
      </w:pPr>
      <w:r>
        <w:rPr>
          <w:rFonts w:eastAsia="SimSun" w:hint="eastAsia"/>
        </w:rPr>
        <w:t>Introduction</w:t>
      </w:r>
    </w:p>
    <w:p w:rsidR="00096470" w:rsidRDefault="00562CE6">
      <w:pPr>
        <w:spacing w:before="120" w:after="120"/>
        <w:rPr>
          <w:sz w:val="20"/>
        </w:rPr>
      </w:pPr>
      <w:r>
        <w:rPr>
          <w:rFonts w:hint="eastAsia"/>
          <w:sz w:val="20"/>
        </w:rPr>
        <w:t xml:space="preserve">In RAN 1 #98 meeting, some further agreements about sidelink structure are achieved as follow </w:t>
      </w:r>
      <w:r w:rsidR="00985DD6">
        <w:rPr>
          <w:rFonts w:hint="eastAsia"/>
          <w:sz w:val="20"/>
        </w:rPr>
        <w:fldChar w:fldCharType="begin"/>
      </w:r>
      <w:r>
        <w:rPr>
          <w:rFonts w:hint="eastAsia"/>
          <w:sz w:val="20"/>
        </w:rPr>
        <w:instrText xml:space="preserve"> REF _Ref6480 \n \h </w:instrText>
      </w:r>
      <w:r w:rsidR="00985DD6">
        <w:rPr>
          <w:rFonts w:hint="eastAsia"/>
          <w:sz w:val="20"/>
        </w:rPr>
      </w:r>
      <w:r w:rsidR="00985DD6">
        <w:rPr>
          <w:rFonts w:hint="eastAsia"/>
          <w:sz w:val="20"/>
        </w:rPr>
        <w:fldChar w:fldCharType="separate"/>
      </w:r>
      <w:r w:rsidR="003D7824">
        <w:rPr>
          <w:sz w:val="20"/>
        </w:rPr>
        <w:t>[1]</w:t>
      </w:r>
      <w:r w:rsidR="00985DD6">
        <w:rPr>
          <w:rFonts w:hint="eastAsia"/>
          <w:sz w:val="20"/>
        </w:rPr>
        <w:fldChar w:fldCharType="end"/>
      </w:r>
      <w:r>
        <w:rPr>
          <w:rFonts w:hint="eastAsia"/>
          <w:sz w:val="20"/>
        </w:rPr>
        <w:t xml:space="preserve">: </w:t>
      </w:r>
    </w:p>
    <w:p w:rsidR="00096470" w:rsidRDefault="00562CE6">
      <w:pPr>
        <w:spacing w:before="120" w:after="120"/>
        <w:rPr>
          <w:i/>
          <w:iCs/>
          <w:sz w:val="20"/>
        </w:rPr>
      </w:pPr>
      <w:r>
        <w:rPr>
          <w:rFonts w:hint="eastAsia"/>
          <w:i/>
          <w:iCs/>
          <w:sz w:val="20"/>
          <w:highlight w:val="green"/>
        </w:rPr>
        <w:t>Agreements</w:t>
      </w:r>
      <w:r>
        <w:rPr>
          <w:rFonts w:hint="eastAsia"/>
          <w:i/>
          <w:iCs/>
          <w:sz w:val="20"/>
          <w:highlight w:val="green"/>
        </w:rPr>
        <w:t>：</w:t>
      </w:r>
      <w:r>
        <w:rPr>
          <w:rFonts w:hint="eastAsia"/>
          <w:i/>
          <w:iCs/>
          <w:sz w:val="20"/>
        </w:rPr>
        <w:t xml:space="preserve"> </w:t>
      </w:r>
    </w:p>
    <w:p w:rsidR="00096470" w:rsidRDefault="00562CE6">
      <w:pPr>
        <w:pStyle w:val="Style1"/>
        <w:numPr>
          <w:ilvl w:val="0"/>
          <w:numId w:val="9"/>
        </w:numPr>
        <w:spacing w:before="120" w:after="120" w:afterAutospacing="0" w:line="360" w:lineRule="auto"/>
        <w:rPr>
          <w:rFonts w:eastAsia="DengXian"/>
          <w:i/>
          <w:iCs/>
          <w:sz w:val="20"/>
          <w:szCs w:val="22"/>
          <w:lang w:eastAsia="ko-KR"/>
        </w:rPr>
      </w:pPr>
      <w:r>
        <w:rPr>
          <w:rFonts w:eastAsia="DengXian"/>
          <w:i/>
          <w:iCs/>
          <w:sz w:val="20"/>
          <w:szCs w:val="22"/>
          <w:lang w:eastAsia="ko-KR"/>
        </w:rPr>
        <w:t xml:space="preserve">In physical layer perspective, a (pre-)configured resource pool can be used for all of unicast, groupcast, and broadcast for a given UE. </w:t>
      </w:r>
    </w:p>
    <w:p w:rsidR="00096470" w:rsidRDefault="00562CE6">
      <w:pPr>
        <w:pStyle w:val="Style1"/>
        <w:numPr>
          <w:ilvl w:val="1"/>
          <w:numId w:val="10"/>
        </w:numPr>
        <w:spacing w:before="120" w:after="120" w:afterAutospacing="0" w:line="240" w:lineRule="auto"/>
        <w:ind w:left="1446" w:hanging="363"/>
        <w:rPr>
          <w:rFonts w:eastAsia="DengXian"/>
          <w:i/>
          <w:iCs/>
          <w:sz w:val="20"/>
          <w:szCs w:val="22"/>
          <w:lang w:eastAsia="ko-KR"/>
        </w:rPr>
      </w:pPr>
      <w:r>
        <w:rPr>
          <w:rFonts w:eastAsia="DengXian"/>
          <w:i/>
          <w:iCs/>
          <w:sz w:val="20"/>
          <w:szCs w:val="22"/>
          <w:lang w:eastAsia="ko-KR"/>
        </w:rPr>
        <w:t>There is no (pre-)configuration to inform which cast types are used for the resource pool.</w:t>
      </w:r>
    </w:p>
    <w:p w:rsidR="00096470" w:rsidRDefault="00562CE6">
      <w:pPr>
        <w:spacing w:before="120" w:after="120"/>
        <w:rPr>
          <w:i/>
          <w:iCs/>
          <w:sz w:val="20"/>
        </w:rPr>
      </w:pPr>
      <w:r>
        <w:rPr>
          <w:rFonts w:hint="eastAsia"/>
          <w:i/>
          <w:iCs/>
          <w:sz w:val="20"/>
          <w:highlight w:val="green"/>
        </w:rPr>
        <w:t>Agreements</w:t>
      </w:r>
      <w:r>
        <w:rPr>
          <w:rFonts w:hint="eastAsia"/>
          <w:i/>
          <w:iCs/>
          <w:sz w:val="20"/>
          <w:highlight w:val="green"/>
        </w:rPr>
        <w:t>：</w:t>
      </w:r>
      <w:r>
        <w:rPr>
          <w:rFonts w:hint="eastAsia"/>
          <w:i/>
          <w:iCs/>
          <w:sz w:val="20"/>
        </w:rPr>
        <w:t xml:space="preserve"> </w:t>
      </w:r>
    </w:p>
    <w:p w:rsidR="00096470" w:rsidRDefault="00562CE6">
      <w:pPr>
        <w:pStyle w:val="Style1"/>
        <w:numPr>
          <w:ilvl w:val="0"/>
          <w:numId w:val="9"/>
        </w:numPr>
        <w:spacing w:before="120" w:after="120" w:afterAutospacing="0" w:line="360" w:lineRule="auto"/>
        <w:rPr>
          <w:rFonts w:eastAsia="DengXian"/>
          <w:i/>
          <w:iCs/>
          <w:sz w:val="20"/>
          <w:szCs w:val="22"/>
          <w:lang w:eastAsia="ko-KR"/>
        </w:rPr>
      </w:pPr>
      <w:r>
        <w:rPr>
          <w:rFonts w:eastAsia="DengXian"/>
          <w:i/>
          <w:iCs/>
          <w:sz w:val="20"/>
          <w:szCs w:val="22"/>
          <w:lang w:eastAsia="ko-KR"/>
        </w:rPr>
        <w:t>(Pre-)configuration of one or more PSSCH DMRS pattern(s) in time domain per a resource pool is supported.</w:t>
      </w:r>
    </w:p>
    <w:p w:rsidR="00096470" w:rsidRDefault="00562CE6">
      <w:pPr>
        <w:pStyle w:val="Style1"/>
        <w:numPr>
          <w:ilvl w:val="0"/>
          <w:numId w:val="9"/>
        </w:numPr>
        <w:spacing w:before="120" w:after="120" w:afterAutospacing="0" w:line="360" w:lineRule="auto"/>
        <w:rPr>
          <w:rFonts w:eastAsia="DengXian"/>
          <w:i/>
          <w:iCs/>
          <w:sz w:val="20"/>
          <w:szCs w:val="22"/>
          <w:lang w:eastAsia="ko-KR"/>
        </w:rPr>
      </w:pPr>
      <w:r>
        <w:rPr>
          <w:rFonts w:eastAsia="DengXian"/>
          <w:i/>
          <w:iCs/>
          <w:sz w:val="20"/>
          <w:szCs w:val="22"/>
          <w:lang w:eastAsia="ko-KR"/>
        </w:rPr>
        <w:t>Exact DMRS pattern is indicated by SCI</w:t>
      </w:r>
    </w:p>
    <w:p w:rsidR="00096470" w:rsidRDefault="00562CE6">
      <w:pPr>
        <w:pStyle w:val="Style1"/>
        <w:numPr>
          <w:ilvl w:val="1"/>
          <w:numId w:val="10"/>
        </w:numPr>
        <w:spacing w:before="120" w:after="120" w:afterAutospacing="0" w:line="240" w:lineRule="auto"/>
        <w:ind w:left="1446" w:hanging="363"/>
        <w:rPr>
          <w:rFonts w:eastAsia="DengXian"/>
          <w:i/>
          <w:iCs/>
          <w:sz w:val="20"/>
          <w:szCs w:val="22"/>
          <w:lang w:eastAsia="ko-KR"/>
        </w:rPr>
      </w:pPr>
      <w:r>
        <w:rPr>
          <w:rFonts w:eastAsia="DengXian"/>
          <w:i/>
          <w:iCs/>
          <w:sz w:val="20"/>
          <w:szCs w:val="22"/>
          <w:lang w:eastAsia="ko-KR"/>
        </w:rPr>
        <w:t>FFS details, including whether or not to have the indication bit in case of one (pre)configured DMRS pattern</w:t>
      </w:r>
    </w:p>
    <w:p w:rsidR="00096470" w:rsidRDefault="00562CE6">
      <w:pPr>
        <w:pStyle w:val="Style1"/>
        <w:numPr>
          <w:ilvl w:val="0"/>
          <w:numId w:val="9"/>
        </w:numPr>
        <w:spacing w:before="120" w:after="120" w:afterAutospacing="0" w:line="360" w:lineRule="auto"/>
        <w:rPr>
          <w:rFonts w:eastAsia="DengXian"/>
          <w:i/>
          <w:iCs/>
          <w:sz w:val="20"/>
          <w:szCs w:val="22"/>
          <w:lang w:eastAsia="ko-KR"/>
        </w:rPr>
      </w:pPr>
      <w:r>
        <w:rPr>
          <w:rFonts w:eastAsia="DengXian"/>
          <w:i/>
          <w:iCs/>
          <w:sz w:val="20"/>
          <w:szCs w:val="22"/>
          <w:lang w:eastAsia="ko-KR"/>
        </w:rPr>
        <w:t>For Mode 2, DMRS pattern is chosen by the transmitter UE from the (pre)configured patterns for the resource pool.</w:t>
      </w:r>
    </w:p>
    <w:p w:rsidR="00096470" w:rsidRDefault="00562CE6">
      <w:pPr>
        <w:pStyle w:val="Style1"/>
        <w:numPr>
          <w:ilvl w:val="1"/>
          <w:numId w:val="10"/>
        </w:numPr>
        <w:spacing w:before="120" w:after="120" w:afterAutospacing="0" w:line="240" w:lineRule="auto"/>
        <w:ind w:left="1446" w:hanging="363"/>
        <w:rPr>
          <w:rFonts w:eastAsia="DengXian"/>
          <w:i/>
          <w:iCs/>
          <w:sz w:val="20"/>
          <w:szCs w:val="22"/>
          <w:lang w:eastAsia="ko-KR"/>
        </w:rPr>
      </w:pPr>
      <w:r>
        <w:rPr>
          <w:rFonts w:eastAsia="DengXian"/>
          <w:i/>
          <w:iCs/>
          <w:sz w:val="20"/>
          <w:szCs w:val="22"/>
          <w:lang w:eastAsia="ko-KR"/>
        </w:rPr>
        <w:t>FFS: case for Mode 1</w:t>
      </w:r>
    </w:p>
    <w:p w:rsidR="00096470" w:rsidRDefault="00562CE6">
      <w:pPr>
        <w:pStyle w:val="Style1"/>
        <w:numPr>
          <w:ilvl w:val="1"/>
          <w:numId w:val="10"/>
        </w:numPr>
        <w:spacing w:before="120" w:after="120" w:afterAutospacing="0" w:line="240" w:lineRule="auto"/>
        <w:ind w:left="1446" w:hanging="363"/>
        <w:rPr>
          <w:rFonts w:eastAsia="DengXian"/>
          <w:i/>
          <w:iCs/>
          <w:sz w:val="20"/>
          <w:szCs w:val="22"/>
          <w:lang w:eastAsia="ko-KR"/>
        </w:rPr>
      </w:pPr>
      <w:r>
        <w:rPr>
          <w:rFonts w:eastAsia="DengXian"/>
          <w:i/>
          <w:iCs/>
          <w:sz w:val="20"/>
          <w:szCs w:val="22"/>
          <w:lang w:eastAsia="ko-KR"/>
        </w:rPr>
        <w:t xml:space="preserve">FFS: whether/how to use restrictions for choice of DMRS pattern </w:t>
      </w:r>
    </w:p>
    <w:p w:rsidR="00096470" w:rsidRDefault="00562CE6">
      <w:pPr>
        <w:pStyle w:val="Style1"/>
        <w:numPr>
          <w:ilvl w:val="0"/>
          <w:numId w:val="9"/>
        </w:numPr>
        <w:spacing w:before="120" w:after="120" w:afterAutospacing="0" w:line="360" w:lineRule="auto"/>
        <w:rPr>
          <w:rFonts w:eastAsia="DengXian"/>
          <w:i/>
          <w:iCs/>
          <w:sz w:val="20"/>
          <w:szCs w:val="22"/>
          <w:lang w:eastAsia="ko-KR"/>
        </w:rPr>
      </w:pPr>
      <w:r>
        <w:rPr>
          <w:rFonts w:eastAsia="DengXian"/>
          <w:i/>
          <w:iCs/>
          <w:sz w:val="20"/>
          <w:szCs w:val="22"/>
          <w:lang w:eastAsia="ko-KR"/>
        </w:rPr>
        <w:t>FFS on details on time-domain pattern</w:t>
      </w:r>
    </w:p>
    <w:p w:rsidR="00096470" w:rsidRDefault="00562CE6">
      <w:pPr>
        <w:pStyle w:val="Style1"/>
        <w:numPr>
          <w:ilvl w:val="0"/>
          <w:numId w:val="9"/>
        </w:numPr>
        <w:spacing w:before="120" w:after="120" w:afterAutospacing="0" w:line="360" w:lineRule="auto"/>
        <w:rPr>
          <w:rFonts w:eastAsia="DengXian"/>
          <w:i/>
          <w:iCs/>
          <w:sz w:val="20"/>
          <w:szCs w:val="22"/>
          <w:lang w:eastAsia="ko-KR"/>
        </w:rPr>
      </w:pPr>
      <w:r>
        <w:rPr>
          <w:rFonts w:eastAsia="DengXian"/>
          <w:i/>
          <w:iCs/>
          <w:sz w:val="20"/>
          <w:szCs w:val="22"/>
          <w:lang w:eastAsia="ko-KR"/>
        </w:rPr>
        <w:t>FFS the number of possible DMRS patterns</w:t>
      </w:r>
    </w:p>
    <w:p w:rsidR="00096470" w:rsidRDefault="00562CE6">
      <w:pPr>
        <w:spacing w:before="120" w:after="120"/>
        <w:rPr>
          <w:i/>
          <w:iCs/>
          <w:sz w:val="20"/>
        </w:rPr>
      </w:pPr>
      <w:r>
        <w:rPr>
          <w:rFonts w:hint="eastAsia"/>
          <w:i/>
          <w:iCs/>
          <w:sz w:val="20"/>
          <w:highlight w:val="green"/>
        </w:rPr>
        <w:t>Agreements</w:t>
      </w:r>
      <w:r>
        <w:rPr>
          <w:rFonts w:hint="eastAsia"/>
          <w:i/>
          <w:iCs/>
          <w:sz w:val="20"/>
          <w:highlight w:val="green"/>
        </w:rPr>
        <w:t>：</w:t>
      </w:r>
      <w:r>
        <w:rPr>
          <w:rFonts w:hint="eastAsia"/>
          <w:i/>
          <w:iCs/>
          <w:sz w:val="20"/>
        </w:rPr>
        <w:t xml:space="preserve"> </w:t>
      </w:r>
    </w:p>
    <w:p w:rsidR="00096470" w:rsidRDefault="00562CE6">
      <w:pPr>
        <w:pStyle w:val="Style1"/>
        <w:numPr>
          <w:ilvl w:val="0"/>
          <w:numId w:val="9"/>
        </w:numPr>
        <w:spacing w:before="120" w:after="120" w:line="360" w:lineRule="auto"/>
        <w:rPr>
          <w:rFonts w:eastAsia="DengXian"/>
          <w:i/>
          <w:iCs/>
          <w:sz w:val="20"/>
          <w:szCs w:val="22"/>
          <w:lang w:eastAsia="ko-KR"/>
        </w:rPr>
      </w:pPr>
      <w:r>
        <w:rPr>
          <w:rFonts w:eastAsia="DengXian"/>
          <w:i/>
          <w:iCs/>
          <w:sz w:val="20"/>
          <w:szCs w:val="22"/>
          <w:lang w:eastAsia="ko-KR"/>
        </w:rPr>
        <w:t>Support 2-stage SCI</w:t>
      </w:r>
    </w:p>
    <w:p w:rsidR="00096470" w:rsidRDefault="00562CE6">
      <w:pPr>
        <w:pStyle w:val="Style1"/>
        <w:numPr>
          <w:ilvl w:val="1"/>
          <w:numId w:val="10"/>
        </w:numPr>
        <w:spacing w:before="120" w:after="120" w:afterAutospacing="0" w:line="240" w:lineRule="auto"/>
        <w:ind w:left="1446" w:hanging="363"/>
        <w:rPr>
          <w:rFonts w:eastAsia="DengXian"/>
          <w:i/>
          <w:iCs/>
          <w:sz w:val="20"/>
          <w:szCs w:val="22"/>
          <w:lang w:eastAsia="ko-KR"/>
        </w:rPr>
      </w:pPr>
      <w:r>
        <w:rPr>
          <w:rFonts w:eastAsia="DengXian"/>
          <w:i/>
          <w:iCs/>
          <w:sz w:val="20"/>
          <w:szCs w:val="22"/>
          <w:lang w:eastAsia="ko-KR"/>
        </w:rPr>
        <w:t>1st SCI is carried in PSCCH.</w:t>
      </w:r>
    </w:p>
    <w:p w:rsidR="00096470" w:rsidRDefault="00562CE6">
      <w:pPr>
        <w:pStyle w:val="Style1"/>
        <w:numPr>
          <w:ilvl w:val="1"/>
          <w:numId w:val="10"/>
        </w:numPr>
        <w:spacing w:before="120" w:after="120" w:afterAutospacing="0" w:line="240" w:lineRule="auto"/>
        <w:ind w:left="1446" w:hanging="363"/>
        <w:rPr>
          <w:rFonts w:eastAsia="DengXian"/>
          <w:i/>
          <w:iCs/>
          <w:sz w:val="20"/>
          <w:szCs w:val="22"/>
          <w:lang w:eastAsia="ko-KR"/>
        </w:rPr>
      </w:pPr>
      <w:r>
        <w:rPr>
          <w:rFonts w:eastAsia="DengXian"/>
          <w:i/>
          <w:iCs/>
          <w:sz w:val="20"/>
          <w:szCs w:val="22"/>
          <w:lang w:eastAsia="ko-KR"/>
        </w:rPr>
        <w:t>FFS: other details</w:t>
      </w:r>
    </w:p>
    <w:p w:rsidR="00096470" w:rsidRDefault="00562CE6">
      <w:pPr>
        <w:spacing w:before="120" w:after="120"/>
        <w:rPr>
          <w:i/>
          <w:iCs/>
          <w:sz w:val="20"/>
          <w:szCs w:val="22"/>
          <w:highlight w:val="green"/>
        </w:rPr>
      </w:pPr>
      <w:r>
        <w:rPr>
          <w:rFonts w:hint="eastAsia"/>
          <w:i/>
          <w:iCs/>
          <w:sz w:val="20"/>
          <w:szCs w:val="22"/>
          <w:highlight w:val="green"/>
        </w:rPr>
        <w:t>Agreements:</w:t>
      </w:r>
    </w:p>
    <w:p w:rsidR="00096470" w:rsidRDefault="00562CE6">
      <w:pPr>
        <w:pStyle w:val="Style1"/>
        <w:numPr>
          <w:ilvl w:val="0"/>
          <w:numId w:val="9"/>
        </w:numPr>
        <w:spacing w:before="120" w:after="120" w:line="360" w:lineRule="auto"/>
        <w:rPr>
          <w:rFonts w:eastAsia="DengXian"/>
          <w:i/>
          <w:iCs/>
          <w:sz w:val="20"/>
          <w:szCs w:val="22"/>
          <w:lang w:eastAsia="ko-KR"/>
        </w:rPr>
      </w:pPr>
      <w:r>
        <w:rPr>
          <w:rFonts w:eastAsia="DengXian"/>
          <w:i/>
          <w:iCs/>
          <w:sz w:val="20"/>
          <w:szCs w:val="22"/>
          <w:lang w:eastAsia="ko-KR"/>
        </w:rPr>
        <w:t>For PSSCH-to-HARQ feedback timing, to down-select:</w:t>
      </w:r>
    </w:p>
    <w:p w:rsidR="00096470" w:rsidRDefault="00562CE6">
      <w:pPr>
        <w:pStyle w:val="Style1"/>
        <w:numPr>
          <w:ilvl w:val="1"/>
          <w:numId w:val="10"/>
        </w:numPr>
        <w:spacing w:before="120" w:after="120" w:afterAutospacing="0" w:line="240" w:lineRule="auto"/>
        <w:ind w:left="1446" w:hanging="363"/>
        <w:rPr>
          <w:rFonts w:eastAsia="DengXian"/>
          <w:i/>
          <w:iCs/>
          <w:sz w:val="20"/>
          <w:szCs w:val="22"/>
          <w:lang w:eastAsia="ko-KR"/>
        </w:rPr>
      </w:pPr>
      <w:r>
        <w:rPr>
          <w:rFonts w:eastAsia="DengXian"/>
          <w:i/>
          <w:iCs/>
          <w:sz w:val="20"/>
          <w:szCs w:val="22"/>
          <w:lang w:eastAsia="ko-KR"/>
        </w:rPr>
        <w:t>Option 1: K is the number of logical slots (i.e., the slots within the resource pool)</w:t>
      </w:r>
    </w:p>
    <w:p w:rsidR="00096470" w:rsidRDefault="00562CE6">
      <w:pPr>
        <w:pStyle w:val="Style1"/>
        <w:numPr>
          <w:ilvl w:val="1"/>
          <w:numId w:val="10"/>
        </w:numPr>
        <w:spacing w:before="120" w:after="120" w:afterAutospacing="0" w:line="240" w:lineRule="auto"/>
        <w:ind w:left="1446" w:hanging="363"/>
        <w:rPr>
          <w:rFonts w:eastAsia="DengXian"/>
          <w:i/>
          <w:iCs/>
          <w:sz w:val="20"/>
          <w:szCs w:val="22"/>
          <w:lang w:eastAsia="ko-KR"/>
        </w:rPr>
      </w:pPr>
      <w:r>
        <w:rPr>
          <w:rFonts w:eastAsia="DengXian"/>
          <w:i/>
          <w:iCs/>
          <w:sz w:val="20"/>
          <w:szCs w:val="22"/>
          <w:lang w:eastAsia="ko-KR"/>
        </w:rPr>
        <w:t>Option 2: K is the number of physical slots (i.e., the slots within and outside the resource pool)</w:t>
      </w:r>
    </w:p>
    <w:p w:rsidR="00096470" w:rsidRDefault="00562CE6">
      <w:pPr>
        <w:pStyle w:val="Style1"/>
        <w:numPr>
          <w:ilvl w:val="1"/>
          <w:numId w:val="10"/>
        </w:numPr>
        <w:spacing w:before="120" w:after="120" w:afterAutospacing="0" w:line="240" w:lineRule="auto"/>
        <w:ind w:left="1446" w:hanging="363"/>
        <w:rPr>
          <w:rFonts w:eastAsia="DengXian"/>
          <w:i/>
          <w:iCs/>
          <w:sz w:val="20"/>
          <w:szCs w:val="22"/>
          <w:lang w:eastAsia="ko-KR"/>
        </w:rPr>
      </w:pPr>
      <w:r>
        <w:rPr>
          <w:rFonts w:eastAsia="DengXian"/>
          <w:i/>
          <w:iCs/>
          <w:sz w:val="20"/>
          <w:szCs w:val="22"/>
          <w:lang w:eastAsia="ko-KR"/>
        </w:rPr>
        <w:t>FFS how to determine K.</w:t>
      </w:r>
    </w:p>
    <w:p w:rsidR="00096470" w:rsidRDefault="00562CE6">
      <w:pPr>
        <w:spacing w:before="120" w:after="120"/>
        <w:rPr>
          <w:sz w:val="20"/>
          <w:szCs w:val="22"/>
        </w:rPr>
      </w:pPr>
      <w:r>
        <w:rPr>
          <w:rFonts w:hint="eastAsia"/>
          <w:sz w:val="20"/>
          <w:szCs w:val="22"/>
        </w:rPr>
        <w:t xml:space="preserve">In this contribution, more detailed analyses and proposals about sidelink physical structure are presented, including sidelink channels and resource pool configuration, etc. </w:t>
      </w:r>
    </w:p>
    <w:p w:rsidR="00096470" w:rsidRDefault="00562CE6">
      <w:pPr>
        <w:pStyle w:val="Heading1"/>
        <w:spacing w:before="120" w:after="120"/>
        <w:ind w:left="0"/>
      </w:pPr>
      <w:r>
        <w:rPr>
          <w:rFonts w:hint="eastAsia"/>
          <w:szCs w:val="22"/>
        </w:rPr>
        <w:lastRenderedPageBreak/>
        <w:t>SL BWP</w:t>
      </w:r>
    </w:p>
    <w:p w:rsidR="00096470" w:rsidRDefault="00562CE6">
      <w:pPr>
        <w:spacing w:before="120" w:after="120"/>
        <w:rPr>
          <w:sz w:val="20"/>
        </w:rPr>
      </w:pPr>
      <w:r>
        <w:rPr>
          <w:rFonts w:hint="eastAsia"/>
          <w:sz w:val="20"/>
        </w:rPr>
        <w:t xml:space="preserve">Similar as DL BWP or UL BWP configuration, SL BWP should be determined according to the parameters including: CRB location and bandwidth, SCS and CP type. As sidelink available SCS and CP type are determined, the </w:t>
      </w:r>
      <w:r>
        <w:rPr>
          <w:sz w:val="20"/>
        </w:rPr>
        <w:t>“</w:t>
      </w:r>
      <w:r>
        <w:rPr>
          <w:rFonts w:hint="eastAsia"/>
          <w:sz w:val="20"/>
        </w:rPr>
        <w:t>point A</w:t>
      </w:r>
      <w:r>
        <w:rPr>
          <w:sz w:val="20"/>
        </w:rPr>
        <w:t>”</w:t>
      </w:r>
      <w:r>
        <w:rPr>
          <w:rFonts w:hint="eastAsia"/>
          <w:sz w:val="20"/>
        </w:rPr>
        <w:t xml:space="preserve"> based CRB location and bandwidth indication scheme can be reused the same as Uu BWP configuration. </w:t>
      </w:r>
    </w:p>
    <w:p w:rsidR="00096470" w:rsidRPr="008F50C5" w:rsidRDefault="00562CE6">
      <w:pPr>
        <w:pStyle w:val="YJ-Proposal"/>
        <w:spacing w:before="120" w:after="120"/>
        <w:rPr>
          <w:lang w:val="en-US" w:eastAsia="zh-CN"/>
        </w:rPr>
      </w:pPr>
      <w:bookmarkStart w:id="1" w:name="_Toc26348"/>
      <w:bookmarkStart w:id="2" w:name="_Toc26095"/>
      <w:bookmarkStart w:id="3" w:name="_Toc10599"/>
      <w:bookmarkStart w:id="4" w:name="_Toc20286"/>
      <w:bookmarkStart w:id="5" w:name="_Toc29324"/>
      <w:bookmarkStart w:id="6" w:name="_Toc20774545"/>
      <w:r>
        <w:rPr>
          <w:rFonts w:hint="eastAsia"/>
          <w:lang w:val="en-US" w:eastAsia="zh-CN"/>
        </w:rPr>
        <w:t xml:space="preserve">SL BWP configuration can reuse the same scheme for Uu BWP configuration, including CRB location and bandwidth, SCS </w:t>
      </w:r>
      <w:r w:rsidRPr="008F50C5">
        <w:rPr>
          <w:rFonts w:hint="eastAsia"/>
          <w:lang w:val="en-US" w:eastAsia="zh-CN"/>
        </w:rPr>
        <w:t xml:space="preserve">and </w:t>
      </w:r>
      <w:r w:rsidRPr="003307D7">
        <w:rPr>
          <w:rFonts w:hint="eastAsia"/>
          <w:lang w:val="en-US" w:eastAsia="zh-CN"/>
        </w:rPr>
        <w:t>CP type</w:t>
      </w:r>
      <w:r w:rsidRPr="008F50C5">
        <w:rPr>
          <w:rFonts w:hint="eastAsia"/>
          <w:lang w:val="en-US" w:eastAsia="zh-CN"/>
        </w:rPr>
        <w:t>.</w:t>
      </w:r>
      <w:bookmarkEnd w:id="1"/>
      <w:bookmarkEnd w:id="2"/>
      <w:bookmarkEnd w:id="3"/>
      <w:bookmarkEnd w:id="4"/>
      <w:bookmarkEnd w:id="5"/>
      <w:bookmarkEnd w:id="6"/>
    </w:p>
    <w:p w:rsidR="00096470" w:rsidRDefault="00562CE6">
      <w:pPr>
        <w:spacing w:before="120" w:after="120"/>
        <w:rPr>
          <w:sz w:val="20"/>
        </w:rPr>
      </w:pPr>
      <w:r>
        <w:rPr>
          <w:rFonts w:hint="eastAsia"/>
          <w:sz w:val="20"/>
        </w:rPr>
        <w:t>Furthermore, PRBs indexed from #0 within the configured SL BWP can be naturally used as the basic frequency resource unit to indicate sidelink channel/resource allocation. For example, frequency resource allocation of sidelink resource pool(s) should be indicated using PRB as well as the sub-channel assignment in a resource pool.</w:t>
      </w:r>
    </w:p>
    <w:p w:rsidR="00096470" w:rsidRDefault="00562CE6">
      <w:pPr>
        <w:pStyle w:val="YJ-Proposal"/>
        <w:spacing w:before="120" w:after="120"/>
        <w:rPr>
          <w:lang w:val="en-US" w:eastAsia="zh-CN"/>
        </w:rPr>
      </w:pPr>
      <w:bookmarkStart w:id="7" w:name="_Toc8313"/>
      <w:bookmarkStart w:id="8" w:name="_Toc6042"/>
      <w:bookmarkStart w:id="9" w:name="_Toc24440"/>
      <w:bookmarkStart w:id="10" w:name="_Toc10518"/>
      <w:bookmarkStart w:id="11" w:name="_Toc24562"/>
      <w:bookmarkStart w:id="12" w:name="_Toc20774546"/>
      <w:r>
        <w:rPr>
          <w:rFonts w:hint="eastAsia"/>
          <w:lang w:val="en-US" w:eastAsia="zh-CN"/>
        </w:rPr>
        <w:t xml:space="preserve">PRB defined within SL BWP should be used </w:t>
      </w:r>
      <w:r w:rsidR="008A6ACE">
        <w:rPr>
          <w:lang w:val="en-US" w:eastAsia="zh-CN"/>
        </w:rPr>
        <w:t>in configuration of</w:t>
      </w:r>
      <w:r>
        <w:rPr>
          <w:rFonts w:hint="eastAsia"/>
          <w:lang w:val="en-US" w:eastAsia="zh-CN"/>
        </w:rPr>
        <w:t xml:space="preserve"> sidelink resource poo</w:t>
      </w:r>
      <w:r w:rsidR="008A6ACE">
        <w:rPr>
          <w:rFonts w:hint="eastAsia"/>
          <w:lang w:val="en-US" w:eastAsia="zh-CN"/>
        </w:rPr>
        <w:t>l</w:t>
      </w:r>
      <w:r w:rsidR="008A6ACE">
        <w:rPr>
          <w:lang w:val="en-US" w:eastAsia="zh-CN"/>
        </w:rPr>
        <w:t>s</w:t>
      </w:r>
      <w:r w:rsidR="008A6ACE">
        <w:rPr>
          <w:rFonts w:hint="eastAsia"/>
          <w:lang w:val="en-US" w:eastAsia="zh-CN"/>
        </w:rPr>
        <w:t>/sidelink channels</w:t>
      </w:r>
      <w:r>
        <w:rPr>
          <w:rFonts w:hint="eastAsia"/>
          <w:lang w:val="en-US" w:eastAsia="zh-CN"/>
        </w:rPr>
        <w:t>.</w:t>
      </w:r>
      <w:bookmarkEnd w:id="7"/>
      <w:bookmarkEnd w:id="8"/>
      <w:bookmarkEnd w:id="9"/>
      <w:bookmarkEnd w:id="10"/>
      <w:bookmarkEnd w:id="11"/>
      <w:bookmarkEnd w:id="12"/>
    </w:p>
    <w:p w:rsidR="00096470" w:rsidRDefault="00562CE6">
      <w:pPr>
        <w:spacing w:before="120" w:after="120"/>
        <w:rPr>
          <w:sz w:val="20"/>
        </w:rPr>
      </w:pPr>
      <w:r>
        <w:rPr>
          <w:rFonts w:hint="eastAsia"/>
          <w:sz w:val="20"/>
        </w:rPr>
        <w:t xml:space="preserve">For cellular implementation on Uu, a BWP switching is defined for the case that UE changes its setting from DL BWP configuration #1 to DL BWP configuration #2, or from UL BWP configuration #1 to UL BWP configuration #2. </w:t>
      </w:r>
    </w:p>
    <w:p w:rsidR="00096470" w:rsidRDefault="00562CE6">
      <w:pPr>
        <w:spacing w:before="120" w:after="120"/>
        <w:rPr>
          <w:sz w:val="20"/>
        </w:rPr>
      </w:pPr>
      <w:r>
        <w:rPr>
          <w:rFonts w:hint="eastAsia"/>
          <w:sz w:val="20"/>
        </w:rPr>
        <w:t>For NR sidelink communication, the scenario we concern is that in-coverage UE may need to switch between UL transmission and SL communication, i.e. skipping between UL BWP and SL BWP which is not exactly the same situation as neither DL BWP switching nor UL BWP switching. Accordingly, whether it needs to perform BWP switching between UL BWP and SL BWP by UE and if yes how long it would take should be determined by RAN 4.</w:t>
      </w:r>
    </w:p>
    <w:p w:rsidR="00096470" w:rsidRDefault="00562CE6">
      <w:pPr>
        <w:spacing w:before="120" w:after="120"/>
        <w:rPr>
          <w:sz w:val="20"/>
        </w:rPr>
      </w:pPr>
      <w:r>
        <w:rPr>
          <w:rFonts w:hint="eastAsia"/>
          <w:sz w:val="20"/>
        </w:rPr>
        <w:t>In order to avoid introducing extra complexity and resource allocation restrictions on sidelink, an assumption that no</w:t>
      </w:r>
      <w:r>
        <w:rPr>
          <w:rFonts w:hint="eastAsia"/>
        </w:rPr>
        <w:t xml:space="preserve"> interruption </w:t>
      </w:r>
      <w:r>
        <w:rPr>
          <w:rFonts w:hint="eastAsia"/>
          <w:sz w:val="20"/>
        </w:rPr>
        <w:t>time between UL BWP and SL BWP switching is needed for in-coverage sidelink UE should be considered. And we propose to confirm the assumption from RAN 1</w:t>
      </w:r>
      <w:r>
        <w:rPr>
          <w:sz w:val="20"/>
        </w:rPr>
        <w:t>’</w:t>
      </w:r>
      <w:r>
        <w:rPr>
          <w:rFonts w:hint="eastAsia"/>
          <w:sz w:val="20"/>
        </w:rPr>
        <w:t>s perspective.</w:t>
      </w:r>
    </w:p>
    <w:p w:rsidR="00096470" w:rsidRDefault="00562CE6">
      <w:pPr>
        <w:pStyle w:val="YJ-Proposal"/>
        <w:spacing w:before="120" w:after="120"/>
        <w:rPr>
          <w:lang w:val="en-US" w:eastAsia="zh-CN"/>
        </w:rPr>
      </w:pPr>
      <w:bookmarkStart w:id="13" w:name="_Toc29714"/>
      <w:bookmarkStart w:id="14" w:name="_Toc29647"/>
      <w:bookmarkStart w:id="15" w:name="_Toc20533"/>
      <w:bookmarkStart w:id="16" w:name="_Toc13708"/>
      <w:bookmarkStart w:id="17" w:name="_Toc2933"/>
      <w:bookmarkStart w:id="18" w:name="_Toc20774547"/>
      <w:r>
        <w:rPr>
          <w:rFonts w:hint="eastAsia"/>
          <w:szCs w:val="22"/>
          <w:lang w:val="en-US" w:eastAsia="zh-CN"/>
        </w:rPr>
        <w:t>RAN1 assume</w:t>
      </w:r>
      <w:r>
        <w:rPr>
          <w:szCs w:val="22"/>
          <w:lang w:val="en-US" w:eastAsia="zh-CN"/>
        </w:rPr>
        <w:t>s no</w:t>
      </w:r>
      <w:r>
        <w:rPr>
          <w:rFonts w:hint="eastAsia"/>
          <w:szCs w:val="22"/>
          <w:lang w:val="en-US" w:eastAsia="zh-CN"/>
        </w:rPr>
        <w:t xml:space="preserve"> </w:t>
      </w:r>
      <w:r>
        <w:rPr>
          <w:rFonts w:hint="eastAsia"/>
        </w:rPr>
        <w:t>interruption</w:t>
      </w:r>
      <w:r>
        <w:rPr>
          <w:rFonts w:hint="eastAsia"/>
          <w:szCs w:val="22"/>
          <w:lang w:val="en-US" w:eastAsia="zh-CN"/>
        </w:rPr>
        <w:t xml:space="preserve"> time </w:t>
      </w:r>
      <w:r w:rsidR="003307D7">
        <w:rPr>
          <w:szCs w:val="22"/>
          <w:lang w:val="en-US" w:eastAsia="zh-CN"/>
        </w:rPr>
        <w:t xml:space="preserve">for switching </w:t>
      </w:r>
      <w:r>
        <w:rPr>
          <w:rFonts w:hint="eastAsia"/>
          <w:szCs w:val="22"/>
          <w:lang w:val="en-US" w:eastAsia="zh-CN"/>
        </w:rPr>
        <w:t>between Uu BWP and SL BWP.</w:t>
      </w:r>
      <w:bookmarkEnd w:id="13"/>
      <w:bookmarkEnd w:id="14"/>
      <w:bookmarkEnd w:id="15"/>
      <w:bookmarkEnd w:id="16"/>
      <w:bookmarkEnd w:id="17"/>
      <w:bookmarkEnd w:id="18"/>
    </w:p>
    <w:p w:rsidR="00096470" w:rsidRDefault="00562CE6">
      <w:pPr>
        <w:pStyle w:val="Heading1"/>
        <w:pBdr>
          <w:top w:val="none" w:sz="0" w:space="1" w:color="auto"/>
          <w:left w:val="none" w:sz="0" w:space="4" w:color="auto"/>
          <w:bottom w:val="none" w:sz="0" w:space="1" w:color="auto"/>
          <w:right w:val="none" w:sz="0" w:space="4" w:color="auto"/>
        </w:pBdr>
        <w:spacing w:before="120" w:after="120"/>
        <w:ind w:left="0"/>
        <w:rPr>
          <w:szCs w:val="22"/>
        </w:rPr>
      </w:pPr>
      <w:r>
        <w:rPr>
          <w:rFonts w:hint="eastAsia"/>
          <w:szCs w:val="22"/>
        </w:rPr>
        <w:t xml:space="preserve">Sidelink resource pool </w:t>
      </w:r>
    </w:p>
    <w:p w:rsidR="00096470" w:rsidRDefault="00562CE6">
      <w:pPr>
        <w:pStyle w:val="Heading2"/>
        <w:spacing w:before="120" w:after="120"/>
        <w:ind w:left="991" w:right="210" w:hangingChars="354" w:hanging="991"/>
        <w:rPr>
          <w:szCs w:val="22"/>
        </w:rPr>
      </w:pPr>
      <w:r>
        <w:rPr>
          <w:rFonts w:hint="eastAsia"/>
          <w:szCs w:val="22"/>
        </w:rPr>
        <w:t>Time domain resources</w:t>
      </w:r>
    </w:p>
    <w:p w:rsidR="00096470" w:rsidRDefault="00562CE6">
      <w:pPr>
        <w:pStyle w:val="Heading3"/>
        <w:spacing w:after="120"/>
        <w:ind w:right="210"/>
      </w:pPr>
      <w:r>
        <w:rPr>
          <w:rFonts w:hint="eastAsia"/>
        </w:rPr>
        <w:t>Slots/symbols configuration for</w:t>
      </w:r>
      <w:r>
        <w:t xml:space="preserve"> sidelink</w:t>
      </w:r>
      <w:r>
        <w:rPr>
          <w:rFonts w:hint="eastAsia"/>
        </w:rPr>
        <w:t xml:space="preserve"> resource pool</w:t>
      </w:r>
    </w:p>
    <w:p w:rsidR="00096470" w:rsidRDefault="00562CE6">
      <w:pPr>
        <w:spacing w:before="120" w:after="120"/>
        <w:rPr>
          <w:sz w:val="20"/>
        </w:rPr>
      </w:pPr>
      <w:r>
        <w:rPr>
          <w:rFonts w:hint="eastAsia"/>
          <w:sz w:val="20"/>
        </w:rPr>
        <w:t>To indicate the time domain resources assigned for a sidelink resource pool, the following parameters should be considered:</w:t>
      </w:r>
    </w:p>
    <w:p w:rsidR="00096470" w:rsidRDefault="00562CE6">
      <w:pPr>
        <w:pStyle w:val="ListParagraph"/>
        <w:numPr>
          <w:ilvl w:val="0"/>
          <w:numId w:val="11"/>
        </w:numPr>
        <w:spacing w:before="120" w:after="120"/>
        <w:rPr>
          <w:sz w:val="20"/>
          <w:szCs w:val="20"/>
        </w:rPr>
      </w:pPr>
      <w:r>
        <w:rPr>
          <w:rFonts w:hint="eastAsia"/>
          <w:sz w:val="20"/>
          <w:szCs w:val="20"/>
        </w:rPr>
        <w:t>Configuration period</w:t>
      </w:r>
    </w:p>
    <w:p w:rsidR="00096470" w:rsidRDefault="00562CE6">
      <w:pPr>
        <w:pStyle w:val="ListParagraph"/>
        <w:numPr>
          <w:ilvl w:val="0"/>
          <w:numId w:val="11"/>
        </w:numPr>
        <w:spacing w:before="120" w:after="120"/>
        <w:rPr>
          <w:sz w:val="20"/>
          <w:szCs w:val="20"/>
        </w:rPr>
      </w:pPr>
      <w:r>
        <w:rPr>
          <w:rFonts w:hint="eastAsia"/>
          <w:sz w:val="20"/>
          <w:szCs w:val="20"/>
        </w:rPr>
        <w:t xml:space="preserve">Sidelink slots with a period </w:t>
      </w:r>
    </w:p>
    <w:p w:rsidR="00096470" w:rsidRDefault="00562CE6">
      <w:pPr>
        <w:pStyle w:val="ListParagraph"/>
        <w:numPr>
          <w:ilvl w:val="0"/>
          <w:numId w:val="11"/>
        </w:numPr>
        <w:spacing w:before="120" w:after="120"/>
        <w:rPr>
          <w:sz w:val="20"/>
          <w:szCs w:val="20"/>
        </w:rPr>
      </w:pPr>
      <w:r>
        <w:rPr>
          <w:rFonts w:hint="eastAsia"/>
          <w:sz w:val="20"/>
          <w:szCs w:val="20"/>
        </w:rPr>
        <w:t>Sidelink symbols within a slot</w:t>
      </w:r>
    </w:p>
    <w:p w:rsidR="00096470" w:rsidRDefault="00562CE6">
      <w:pPr>
        <w:spacing w:before="120" w:after="120"/>
        <w:rPr>
          <w:sz w:val="20"/>
        </w:rPr>
      </w:pPr>
      <w:r>
        <w:rPr>
          <w:rFonts w:hint="eastAsia"/>
          <w:sz w:val="20"/>
        </w:rPr>
        <w:t xml:space="preserve">An example is shown in </w:t>
      </w:r>
      <w:r w:rsidR="00985DD6">
        <w:rPr>
          <w:rFonts w:hint="eastAsia"/>
          <w:sz w:val="20"/>
        </w:rPr>
        <w:fldChar w:fldCharType="begin"/>
      </w:r>
      <w:r>
        <w:rPr>
          <w:rFonts w:hint="eastAsia"/>
          <w:sz w:val="20"/>
        </w:rPr>
        <w:instrText xml:space="preserve"> REF _Ref26767 \h </w:instrText>
      </w:r>
      <w:r w:rsidR="00985DD6">
        <w:rPr>
          <w:rFonts w:hint="eastAsia"/>
          <w:sz w:val="20"/>
        </w:rPr>
      </w:r>
      <w:r w:rsidR="00985DD6">
        <w:rPr>
          <w:rFonts w:hint="eastAsia"/>
          <w:sz w:val="20"/>
        </w:rPr>
        <w:fldChar w:fldCharType="separate"/>
      </w:r>
      <w:r w:rsidR="003D7824">
        <w:rPr>
          <w:b/>
          <w:bCs/>
          <w:sz w:val="20"/>
        </w:rPr>
        <w:t xml:space="preserve">Figure </w:t>
      </w:r>
      <w:r w:rsidR="003D7824">
        <w:rPr>
          <w:b/>
          <w:bCs/>
          <w:noProof/>
          <w:sz w:val="20"/>
        </w:rPr>
        <w:t>1</w:t>
      </w:r>
      <w:r w:rsidR="00985DD6">
        <w:rPr>
          <w:rFonts w:hint="eastAsia"/>
          <w:sz w:val="20"/>
        </w:rPr>
        <w:fldChar w:fldCharType="end"/>
      </w:r>
      <w:r>
        <w:rPr>
          <w:rFonts w:hint="eastAsia"/>
          <w:sz w:val="20"/>
        </w:rPr>
        <w:t>, the meaning of configuration period is the same as legacy sidelink resource pool indication scheme which presents the repetition period of the resource pool configuration and does not set any limitation for sidelink resource using. For in-coverage case, the sidelink resource pool period can be set to the same value as the cell common configuration period.</w:t>
      </w:r>
    </w:p>
    <w:p w:rsidR="00096470" w:rsidRDefault="00562CE6">
      <w:pPr>
        <w:spacing w:before="120" w:after="120"/>
        <w:rPr>
          <w:sz w:val="20"/>
        </w:rPr>
      </w:pPr>
      <w:r>
        <w:rPr>
          <w:rFonts w:hint="eastAsia"/>
          <w:sz w:val="20"/>
        </w:rPr>
        <w:t>Within a period, the slots available for sidelink should be indicated, including the slots in which all symbols and a subset of symbols are configured as sidelink resources. Bitmap of slots in period can be used to indicate the slots assigned in a resource pool.</w:t>
      </w:r>
    </w:p>
    <w:p w:rsidR="00096470" w:rsidRDefault="00562CE6">
      <w:pPr>
        <w:spacing w:before="120" w:after="120"/>
        <w:jc w:val="center"/>
        <w:rPr>
          <w:sz w:val="20"/>
        </w:rPr>
      </w:pPr>
      <w:r>
        <w:rPr>
          <w:rFonts w:hint="eastAsia"/>
          <w:noProof/>
          <w:sz w:val="20"/>
        </w:rPr>
        <w:lastRenderedPageBreak/>
        <w:drawing>
          <wp:inline distT="0" distB="0" distL="114300" distR="114300">
            <wp:extent cx="4321689" cy="1889570"/>
            <wp:effectExtent l="0" t="0" r="3175" b="0"/>
            <wp:docPr id="3" name="图片 3" descr="Sidelink resource pool configur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Sidelink resource pool configuration"/>
                    <pic:cNvPicPr>
                      <a:picLocks noChangeAspect="1"/>
                    </pic:cNvPicPr>
                  </pic:nvPicPr>
                  <pic:blipFill>
                    <a:blip r:embed="rId8" cstate="print"/>
                    <a:stretch>
                      <a:fillRect/>
                    </a:stretch>
                  </pic:blipFill>
                  <pic:spPr>
                    <a:xfrm>
                      <a:off x="0" y="0"/>
                      <a:ext cx="4353673" cy="1903554"/>
                    </a:xfrm>
                    <a:prstGeom prst="rect">
                      <a:avLst/>
                    </a:prstGeom>
                  </pic:spPr>
                </pic:pic>
              </a:graphicData>
            </a:graphic>
          </wp:inline>
        </w:drawing>
      </w:r>
    </w:p>
    <w:p w:rsidR="00096470" w:rsidRDefault="00562CE6">
      <w:pPr>
        <w:pStyle w:val="Caption"/>
        <w:jc w:val="center"/>
        <w:rPr>
          <w:b w:val="0"/>
          <w:bCs/>
          <w:sz w:val="20"/>
        </w:rPr>
      </w:pPr>
      <w:bookmarkStart w:id="19" w:name="_Ref26767"/>
      <w:r>
        <w:rPr>
          <w:b w:val="0"/>
          <w:bCs/>
          <w:sz w:val="20"/>
        </w:rPr>
        <w:t xml:space="preserve">Figure </w:t>
      </w:r>
      <w:r w:rsidR="00985DD6">
        <w:rPr>
          <w:b w:val="0"/>
          <w:bCs/>
          <w:sz w:val="20"/>
        </w:rPr>
        <w:fldChar w:fldCharType="begin"/>
      </w:r>
      <w:r>
        <w:rPr>
          <w:b w:val="0"/>
          <w:bCs/>
          <w:sz w:val="20"/>
        </w:rPr>
        <w:instrText xml:space="preserve"> SEQ Figure \* ARABIC </w:instrText>
      </w:r>
      <w:r w:rsidR="00985DD6">
        <w:rPr>
          <w:b w:val="0"/>
          <w:bCs/>
          <w:sz w:val="20"/>
        </w:rPr>
        <w:fldChar w:fldCharType="separate"/>
      </w:r>
      <w:r w:rsidR="003D7824">
        <w:rPr>
          <w:b w:val="0"/>
          <w:bCs/>
          <w:noProof/>
          <w:sz w:val="20"/>
        </w:rPr>
        <w:t>1</w:t>
      </w:r>
      <w:r w:rsidR="00985DD6">
        <w:rPr>
          <w:b w:val="0"/>
          <w:bCs/>
          <w:sz w:val="20"/>
        </w:rPr>
        <w:fldChar w:fldCharType="end"/>
      </w:r>
      <w:bookmarkEnd w:id="19"/>
      <w:r>
        <w:rPr>
          <w:rFonts w:hint="eastAsia"/>
          <w:b w:val="0"/>
          <w:bCs/>
          <w:sz w:val="20"/>
        </w:rPr>
        <w:t xml:space="preserve"> an example of sidelink resource pool time domain configuration</w:t>
      </w:r>
    </w:p>
    <w:p w:rsidR="00096470" w:rsidRDefault="00562CE6">
      <w:pPr>
        <w:spacing w:before="120" w:after="120"/>
        <w:rPr>
          <w:sz w:val="20"/>
        </w:rPr>
      </w:pPr>
      <w:r>
        <w:rPr>
          <w:rFonts w:hint="eastAsia"/>
          <w:sz w:val="20"/>
        </w:rPr>
        <w:t>By using bitmap to indicate the slot allocation of a sidelink resource pool, there is a further detailed issue need to be considered that how to define the bitmap mapping rule. As in legacy sidelink, the bitmap indicator of resource pool is mapping to logical contiguous subframe sets which excludes the SLSS subframes and reserved subframes. There are two options for NR sidelink slots bitmap mapping:</w:t>
      </w:r>
    </w:p>
    <w:p w:rsidR="00096470" w:rsidRDefault="00562CE6">
      <w:pPr>
        <w:pStyle w:val="ListParagraph"/>
        <w:numPr>
          <w:ilvl w:val="0"/>
          <w:numId w:val="11"/>
        </w:numPr>
        <w:spacing w:before="120" w:after="120"/>
        <w:rPr>
          <w:sz w:val="20"/>
          <w:szCs w:val="20"/>
        </w:rPr>
      </w:pPr>
      <w:r>
        <w:rPr>
          <w:rFonts w:hint="eastAsia"/>
          <w:sz w:val="20"/>
          <w:szCs w:val="20"/>
        </w:rPr>
        <w:t>Option 1: directly mapping the bitmap to physical slots;</w:t>
      </w:r>
    </w:p>
    <w:p w:rsidR="00096470" w:rsidRDefault="00562CE6">
      <w:pPr>
        <w:pStyle w:val="ListParagraph"/>
        <w:numPr>
          <w:ilvl w:val="0"/>
          <w:numId w:val="11"/>
        </w:numPr>
        <w:spacing w:before="120" w:after="120"/>
        <w:rPr>
          <w:sz w:val="20"/>
          <w:szCs w:val="20"/>
        </w:rPr>
      </w:pPr>
      <w:r>
        <w:rPr>
          <w:rFonts w:hint="eastAsia"/>
          <w:sz w:val="20"/>
          <w:szCs w:val="20"/>
        </w:rPr>
        <w:t>Option 2: mapping to logical contiguous slots which excludes the unavailable slots for sidelink communication, such as DL slots.</w:t>
      </w:r>
    </w:p>
    <w:p w:rsidR="00096470" w:rsidRDefault="00562CE6">
      <w:pPr>
        <w:spacing w:before="120" w:after="120"/>
        <w:rPr>
          <w:sz w:val="20"/>
        </w:rPr>
      </w:pPr>
      <w:r>
        <w:rPr>
          <w:rFonts w:hint="eastAsia"/>
          <w:sz w:val="20"/>
        </w:rPr>
        <w:t xml:space="preserve">Option 1 defines an explicit relation between bitmap sequence and slots and avoids complex process to determining the resource pool. In order to indicate some slots as sidelink unavailable, an invalid bit should be marked in the bitmap sequence and it is easy to get an accurate bitmap indication in (pre-)configuration signal. </w:t>
      </w:r>
    </w:p>
    <w:p w:rsidR="00096470" w:rsidRDefault="00562CE6">
      <w:pPr>
        <w:spacing w:before="120" w:after="120"/>
        <w:rPr>
          <w:sz w:val="20"/>
        </w:rPr>
      </w:pPr>
      <w:r>
        <w:rPr>
          <w:rFonts w:hint="eastAsia"/>
          <w:sz w:val="20"/>
        </w:rPr>
        <w:t xml:space="preserve">On the other hand, by using option 2 scheme, it is needed to introduce the available slots set for sidelink which excludes DL resource, SLSS resource, etc. Based on the logical slots set, similar as legacy scheme, the bitmap sequence length is various and should be determined according to the number of slots included in the logical slots set. It leads to additional complexity and some potential troubles for sidelink resource scheduling and selecting, such as inaccurate resource reservation period. </w:t>
      </w:r>
    </w:p>
    <w:p w:rsidR="00096470" w:rsidRDefault="00562CE6">
      <w:pPr>
        <w:spacing w:before="120" w:after="120"/>
        <w:rPr>
          <w:sz w:val="20"/>
        </w:rPr>
      </w:pPr>
      <w:r>
        <w:rPr>
          <w:rFonts w:hint="eastAsia"/>
          <w:sz w:val="20"/>
        </w:rPr>
        <w:t>Besides, option 2 seems to have a shorter bitmap sequence than option 1 which means less overhead, but it should be noticed that the bitmap length in legacy scheme is defined according to TDD UL/DL configurations #0-#6 respectively. While in NR, the tdd-UL-DL slot configuration is more flexible and numerous entries are available. It is inefficient and unreasonable to reuse the logical mapping rule which needs a variable length of bitmap for sidelink resource slots indication. Therefore, we prefer to use option 1 for sidelink resource pool allocation, i.e. indicating slots in resource pool based on physical slots.</w:t>
      </w:r>
    </w:p>
    <w:p w:rsidR="00096470" w:rsidRDefault="00562CE6">
      <w:pPr>
        <w:spacing w:before="120" w:after="120"/>
        <w:rPr>
          <w:sz w:val="20"/>
        </w:rPr>
      </w:pPr>
      <w:r>
        <w:rPr>
          <w:rFonts w:hint="eastAsia"/>
          <w:sz w:val="20"/>
        </w:rPr>
        <w:t xml:space="preserve">As both a full slot and a subset of symbols of a slot assigned for sidelink are supported, the actual available symbols of a slot should be clarified. A simple assumption is to use same symbol allocation for all the slots in a resource pool, such as full slot are assigned for sidelink. If more flexible symbol allocation is supported, detailed indication scheme needs FFS. </w:t>
      </w:r>
    </w:p>
    <w:p w:rsidR="00096470" w:rsidRDefault="00562CE6">
      <w:pPr>
        <w:spacing w:before="120" w:after="120"/>
        <w:rPr>
          <w:sz w:val="20"/>
        </w:rPr>
      </w:pPr>
      <w:r>
        <w:rPr>
          <w:rFonts w:hint="eastAsia"/>
          <w:sz w:val="20"/>
        </w:rPr>
        <w:t>To indicate time domain resource allocation for a sidelink resource pool, we prefer as following:</w:t>
      </w:r>
    </w:p>
    <w:p w:rsidR="00096470" w:rsidRDefault="00562CE6">
      <w:pPr>
        <w:pStyle w:val="YJ-Proposal"/>
        <w:spacing w:before="120" w:after="120"/>
        <w:rPr>
          <w:szCs w:val="22"/>
          <w:lang w:val="en-US" w:eastAsia="zh-CN"/>
        </w:rPr>
      </w:pPr>
      <w:bookmarkStart w:id="20" w:name="_Toc23133"/>
      <w:bookmarkStart w:id="21" w:name="_Toc11621"/>
      <w:bookmarkStart w:id="22" w:name="_Toc3109"/>
      <w:bookmarkStart w:id="23" w:name="_Toc30966"/>
      <w:bookmarkStart w:id="24" w:name="_Toc22603"/>
      <w:bookmarkStart w:id="25" w:name="_Toc20774548"/>
      <w:r>
        <w:rPr>
          <w:rFonts w:hint="eastAsia"/>
          <w:szCs w:val="22"/>
          <w:lang w:val="en-US" w:eastAsia="zh-CN"/>
        </w:rPr>
        <w:t>To allocate time domain resources of a sidelink resource pool, the following should be indicated:</w:t>
      </w:r>
      <w:bookmarkEnd w:id="20"/>
      <w:bookmarkEnd w:id="21"/>
      <w:bookmarkEnd w:id="22"/>
      <w:bookmarkEnd w:id="23"/>
      <w:bookmarkEnd w:id="24"/>
      <w:bookmarkEnd w:id="25"/>
    </w:p>
    <w:p w:rsidR="00096470" w:rsidRDefault="0076647A">
      <w:pPr>
        <w:pStyle w:val="sub-proposal"/>
        <w:spacing w:before="120" w:after="120"/>
        <w:rPr>
          <w:lang w:val="en-US" w:eastAsia="zh-CN"/>
        </w:rPr>
      </w:pPr>
      <w:bookmarkStart w:id="26" w:name="_Toc18125"/>
      <w:bookmarkStart w:id="27" w:name="_Toc12701"/>
      <w:bookmarkStart w:id="28" w:name="_Toc12098"/>
      <w:bookmarkStart w:id="29" w:name="_Toc5786"/>
      <w:bookmarkStart w:id="30" w:name="_Toc15868"/>
      <w:bookmarkStart w:id="31" w:name="_Toc20774549"/>
      <w:r>
        <w:rPr>
          <w:rFonts w:hint="eastAsia"/>
          <w:lang w:val="en-US" w:eastAsia="zh-CN"/>
        </w:rPr>
        <w:t>Configuration period</w:t>
      </w:r>
      <w:bookmarkEnd w:id="26"/>
      <w:bookmarkEnd w:id="27"/>
      <w:bookmarkEnd w:id="28"/>
      <w:bookmarkEnd w:id="29"/>
      <w:bookmarkEnd w:id="30"/>
      <w:r>
        <w:rPr>
          <w:lang w:val="en-US" w:eastAsia="zh-CN"/>
        </w:rPr>
        <w:t>icity</w:t>
      </w:r>
      <w:r w:rsidR="008F50C5">
        <w:rPr>
          <w:lang w:val="en-US" w:eastAsia="zh-CN"/>
        </w:rPr>
        <w:t xml:space="preserve"> (</w:t>
      </w:r>
      <w:r w:rsidR="003307D7">
        <w:rPr>
          <w:lang w:val="en-US" w:eastAsia="zh-CN"/>
        </w:rPr>
        <w:t xml:space="preserve">i.e., </w:t>
      </w:r>
      <w:r w:rsidR="008F50C5">
        <w:rPr>
          <w:lang w:val="en-US" w:eastAsia="zh-CN"/>
        </w:rPr>
        <w:t>bitmap length)</w:t>
      </w:r>
      <w:bookmarkEnd w:id="31"/>
    </w:p>
    <w:p w:rsidR="00096470" w:rsidRDefault="00562CE6">
      <w:pPr>
        <w:pStyle w:val="sub-proposal"/>
        <w:spacing w:before="120" w:after="120"/>
        <w:rPr>
          <w:lang w:val="en-US" w:eastAsia="zh-CN"/>
        </w:rPr>
      </w:pPr>
      <w:bookmarkStart w:id="32" w:name="_Toc7520"/>
      <w:bookmarkStart w:id="33" w:name="_Toc12075"/>
      <w:bookmarkStart w:id="34" w:name="_Toc19161"/>
      <w:bookmarkStart w:id="35" w:name="_Toc27161"/>
      <w:bookmarkStart w:id="36" w:name="_Toc12036"/>
      <w:bookmarkStart w:id="37" w:name="_Toc20774550"/>
      <w:r>
        <w:rPr>
          <w:rFonts w:hint="eastAsia"/>
          <w:lang w:val="en-US" w:eastAsia="zh-CN"/>
        </w:rPr>
        <w:t xml:space="preserve">Bitmap for slots within a period, which is one-to-one mapping to </w:t>
      </w:r>
      <w:r w:rsidR="008A6ACE">
        <w:rPr>
          <w:rFonts w:hint="eastAsia"/>
          <w:lang w:val="en-US" w:eastAsia="zh-CN"/>
        </w:rPr>
        <w:t xml:space="preserve">contiguous </w:t>
      </w:r>
      <w:r>
        <w:rPr>
          <w:rFonts w:hint="eastAsia"/>
          <w:lang w:val="en-US" w:eastAsia="zh-CN"/>
        </w:rPr>
        <w:t>physical slots</w:t>
      </w:r>
      <w:bookmarkEnd w:id="32"/>
      <w:bookmarkEnd w:id="33"/>
      <w:bookmarkEnd w:id="34"/>
      <w:bookmarkEnd w:id="35"/>
      <w:bookmarkEnd w:id="36"/>
      <w:bookmarkEnd w:id="37"/>
    </w:p>
    <w:p w:rsidR="00096470" w:rsidRPr="008F50C5" w:rsidRDefault="00562CE6">
      <w:pPr>
        <w:pStyle w:val="sub-proposal"/>
        <w:spacing w:before="120" w:after="120"/>
        <w:rPr>
          <w:lang w:val="en-US" w:eastAsia="zh-CN"/>
        </w:rPr>
      </w:pPr>
      <w:bookmarkStart w:id="38" w:name="_Toc13129"/>
      <w:bookmarkStart w:id="39" w:name="_Toc13262"/>
      <w:bookmarkStart w:id="40" w:name="_Toc10780"/>
      <w:bookmarkStart w:id="41" w:name="_Toc428"/>
      <w:bookmarkStart w:id="42" w:name="_Toc12786"/>
      <w:bookmarkStart w:id="43" w:name="_Toc20774551"/>
      <w:r w:rsidRPr="003307D7">
        <w:rPr>
          <w:rFonts w:hint="eastAsia"/>
          <w:lang w:val="en-US" w:eastAsia="zh-CN"/>
        </w:rPr>
        <w:t>Symbols within a slot</w:t>
      </w:r>
      <w:bookmarkEnd w:id="38"/>
      <w:bookmarkEnd w:id="39"/>
      <w:bookmarkEnd w:id="40"/>
      <w:bookmarkEnd w:id="41"/>
      <w:bookmarkEnd w:id="42"/>
      <w:bookmarkEnd w:id="43"/>
    </w:p>
    <w:p w:rsidR="00096470" w:rsidRDefault="00562CE6">
      <w:pPr>
        <w:pStyle w:val="Heading3"/>
        <w:spacing w:after="120"/>
        <w:ind w:right="210"/>
      </w:pPr>
      <w:r>
        <w:rPr>
          <w:rFonts w:hint="eastAsia"/>
        </w:rPr>
        <w:t>F slot/s</w:t>
      </w:r>
      <w:r>
        <w:t>ymbol for sidelink</w:t>
      </w:r>
      <w:r>
        <w:rPr>
          <w:rFonts w:hint="eastAsia"/>
        </w:rPr>
        <w:t xml:space="preserve"> resource pool</w:t>
      </w:r>
    </w:p>
    <w:p w:rsidR="00096470" w:rsidRDefault="00562CE6">
      <w:pPr>
        <w:spacing w:before="120" w:after="120"/>
        <w:rPr>
          <w:sz w:val="20"/>
        </w:rPr>
      </w:pPr>
      <w:r>
        <w:rPr>
          <w:rFonts w:hint="eastAsia"/>
          <w:sz w:val="20"/>
        </w:rPr>
        <w:t xml:space="preserve">NR defines D/F/U resource types, where F resource refers to flexible resource that can be redefined for use as DL or UL. It is clear that DL resource cannot be used for sidelink while UL resource can be assigned as sidelink resource. </w:t>
      </w:r>
    </w:p>
    <w:p w:rsidR="00096470" w:rsidRDefault="00562CE6">
      <w:pPr>
        <w:spacing w:before="120" w:after="120"/>
        <w:rPr>
          <w:sz w:val="20"/>
        </w:rPr>
      </w:pPr>
      <w:r>
        <w:rPr>
          <w:rFonts w:hint="eastAsia"/>
          <w:sz w:val="20"/>
        </w:rPr>
        <w:lastRenderedPageBreak/>
        <w:t>According to previous meetings, no consensus has been achieved on whether F resource can be used for sidelink. On one hand, using F resource for sidelink may require more scheduling complex to avoid using the F resource for sidelink which is reset as DL resource. On the other hand, strictly excluding F resource from sidelink limits the actual available resources for sidelink, especially in the case that gNB assigns a few UL resources for cell common within which sidelink resource pool should be configured.</w:t>
      </w:r>
    </w:p>
    <w:p w:rsidR="00096470" w:rsidRDefault="00562CE6">
      <w:pPr>
        <w:spacing w:before="120" w:after="120"/>
        <w:rPr>
          <w:sz w:val="20"/>
        </w:rPr>
      </w:pPr>
      <w:r>
        <w:rPr>
          <w:rFonts w:hint="eastAsia"/>
          <w:sz w:val="20"/>
        </w:rPr>
        <w:t>Since F resource should be managed with certain flexibility, the usage of F resource on sidelink can also be disposed as a configurable feature, and we propose that:</w:t>
      </w:r>
    </w:p>
    <w:p w:rsidR="00096470" w:rsidRDefault="00562CE6">
      <w:pPr>
        <w:pStyle w:val="YJ-Proposal"/>
        <w:spacing w:before="120" w:after="120"/>
        <w:rPr>
          <w:lang w:val="en-US" w:eastAsia="zh-CN"/>
        </w:rPr>
      </w:pPr>
      <w:bookmarkStart w:id="44" w:name="_Toc22708"/>
      <w:bookmarkStart w:id="45" w:name="_Toc12104"/>
      <w:bookmarkStart w:id="46" w:name="_Toc9803"/>
      <w:bookmarkStart w:id="47" w:name="_Toc17168"/>
      <w:bookmarkStart w:id="48" w:name="_Toc27215"/>
      <w:bookmarkStart w:id="49" w:name="_Ref2116"/>
      <w:bookmarkStart w:id="50" w:name="_Toc20774552"/>
      <w:r>
        <w:rPr>
          <w:rFonts w:hint="eastAsia"/>
          <w:lang w:val="en-US" w:eastAsia="zh-CN"/>
        </w:rPr>
        <w:t>Whether F</w:t>
      </w:r>
      <w:r w:rsidR="0077247A">
        <w:rPr>
          <w:lang w:val="en-US" w:eastAsia="zh-CN"/>
        </w:rPr>
        <w:t>lexible</w:t>
      </w:r>
      <w:r>
        <w:rPr>
          <w:rFonts w:hint="eastAsia"/>
          <w:lang w:val="en-US" w:eastAsia="zh-CN"/>
        </w:rPr>
        <w:t xml:space="preserve"> resource can be used for sidelink is configurable</w:t>
      </w:r>
      <w:r>
        <w:rPr>
          <w:lang w:val="en-US" w:eastAsia="zh-CN"/>
        </w:rPr>
        <w:t>.</w:t>
      </w:r>
      <w:bookmarkEnd w:id="44"/>
      <w:bookmarkEnd w:id="45"/>
      <w:bookmarkEnd w:id="46"/>
      <w:bookmarkEnd w:id="47"/>
      <w:bookmarkEnd w:id="48"/>
      <w:bookmarkEnd w:id="49"/>
      <w:bookmarkEnd w:id="50"/>
    </w:p>
    <w:p w:rsidR="00096470" w:rsidRDefault="00562CE6">
      <w:pPr>
        <w:pStyle w:val="Heading3"/>
        <w:spacing w:after="120"/>
        <w:ind w:right="210"/>
      </w:pPr>
      <w:bookmarkStart w:id="51" w:name="_Ref13119"/>
      <w:r>
        <w:rPr>
          <w:rFonts w:hint="eastAsia"/>
        </w:rPr>
        <w:t>Sidelink channels within resource pool</w:t>
      </w:r>
      <w:bookmarkEnd w:id="51"/>
    </w:p>
    <w:p w:rsidR="00096470" w:rsidRDefault="00562CE6">
      <w:pPr>
        <w:spacing w:before="120" w:after="120"/>
        <w:rPr>
          <w:sz w:val="20"/>
        </w:rPr>
      </w:pPr>
      <w:r>
        <w:rPr>
          <w:rFonts w:hint="eastAsia"/>
          <w:sz w:val="20"/>
        </w:rPr>
        <w:t xml:space="preserve">According to the achieved agreements, PSCCH, PSSCH and PSFCH are used in sidelink communication and the relationships among the three types of channels are quite close, for example the PSCCH and relevant PSSCH should be on the same slot, the PSSCH and relevant PSFCH should have a certain time interval and frequency implicit relationship. </w:t>
      </w:r>
    </w:p>
    <w:p w:rsidR="00096470" w:rsidRDefault="00562CE6">
      <w:pPr>
        <w:spacing w:before="120" w:after="120"/>
        <w:rPr>
          <w:sz w:val="20"/>
        </w:rPr>
      </w:pPr>
      <w:r>
        <w:rPr>
          <w:rFonts w:hint="eastAsia"/>
          <w:sz w:val="20"/>
        </w:rPr>
        <w:t xml:space="preserve">In order to simplify the sidelink channel resource allocation and avoid unnecessary complex and potential conflicts, it is reasonable to define the relevant sidelink channels within a same sidelink resource pool. In short, an integrate sidelink resource pool should be assigned and PSCCH, relevant PSSCH and </w:t>
      </w:r>
      <w:r>
        <w:rPr>
          <w:sz w:val="20"/>
        </w:rPr>
        <w:t>PSFCH (</w:t>
      </w:r>
      <w:r>
        <w:rPr>
          <w:rFonts w:hint="eastAsia"/>
          <w:sz w:val="20"/>
        </w:rPr>
        <w:t>if enabled) should be configured within the resource pool.</w:t>
      </w:r>
    </w:p>
    <w:p w:rsidR="006C2EDC" w:rsidRPr="006C2EDC" w:rsidRDefault="00562CE6" w:rsidP="006C2EDC">
      <w:pPr>
        <w:pStyle w:val="YJ-Proposal"/>
        <w:spacing w:before="120" w:after="120"/>
        <w:rPr>
          <w:szCs w:val="22"/>
          <w:lang w:val="en-US" w:eastAsia="zh-CN"/>
        </w:rPr>
      </w:pPr>
      <w:bookmarkStart w:id="52" w:name="_Toc23530"/>
      <w:bookmarkStart w:id="53" w:name="_Toc14365"/>
      <w:bookmarkStart w:id="54" w:name="_Toc11032"/>
      <w:bookmarkStart w:id="55" w:name="_Toc10537"/>
      <w:bookmarkStart w:id="56" w:name="_Toc16054"/>
      <w:bookmarkStart w:id="57" w:name="_Toc20774553"/>
      <w:r>
        <w:rPr>
          <w:rFonts w:hint="eastAsia"/>
          <w:szCs w:val="22"/>
          <w:lang w:val="en-US" w:eastAsia="zh-CN"/>
        </w:rPr>
        <w:t>An integrate sidelink resource pool should be used, and PSCCH, relevant PSSCH and PSFCH should be configured within the same resource pool.</w:t>
      </w:r>
      <w:bookmarkEnd w:id="52"/>
      <w:bookmarkEnd w:id="53"/>
      <w:bookmarkEnd w:id="54"/>
      <w:bookmarkEnd w:id="55"/>
      <w:bookmarkEnd w:id="56"/>
      <w:bookmarkEnd w:id="57"/>
    </w:p>
    <w:p w:rsidR="006C2EDC" w:rsidRDefault="006C2EDC" w:rsidP="006C2EDC">
      <w:pPr>
        <w:spacing w:before="120" w:after="120"/>
        <w:jc w:val="center"/>
        <w:rPr>
          <w:sz w:val="20"/>
        </w:rPr>
      </w:pPr>
      <w:r>
        <w:rPr>
          <w:rFonts w:hint="eastAsia"/>
          <w:noProof/>
          <w:sz w:val="20"/>
        </w:rPr>
        <w:drawing>
          <wp:inline distT="0" distB="0" distL="114300" distR="114300">
            <wp:extent cx="2012702" cy="1971431"/>
            <wp:effectExtent l="0" t="0" r="6985" b="0"/>
            <wp:docPr id="8" name="图片 8" descr="channel multiplexing within resource po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hannel multiplexing within resource pool"/>
                    <pic:cNvPicPr>
                      <a:picLocks noChangeAspect="1"/>
                    </pic:cNvPicPr>
                  </pic:nvPicPr>
                  <pic:blipFill>
                    <a:blip r:embed="rId9" cstate="print"/>
                    <a:stretch>
                      <a:fillRect/>
                    </a:stretch>
                  </pic:blipFill>
                  <pic:spPr>
                    <a:xfrm>
                      <a:off x="0" y="0"/>
                      <a:ext cx="2016007" cy="1974669"/>
                    </a:xfrm>
                    <a:prstGeom prst="rect">
                      <a:avLst/>
                    </a:prstGeom>
                  </pic:spPr>
                </pic:pic>
              </a:graphicData>
            </a:graphic>
          </wp:inline>
        </w:drawing>
      </w:r>
    </w:p>
    <w:p w:rsidR="006C2EDC" w:rsidRDefault="006C2EDC" w:rsidP="006C2EDC">
      <w:pPr>
        <w:pStyle w:val="Caption"/>
        <w:jc w:val="center"/>
        <w:rPr>
          <w:b w:val="0"/>
          <w:bCs/>
          <w:sz w:val="20"/>
        </w:rPr>
      </w:pPr>
      <w:bookmarkStart w:id="58" w:name="_Ref12075"/>
      <w:r>
        <w:rPr>
          <w:b w:val="0"/>
          <w:bCs/>
          <w:sz w:val="20"/>
        </w:rPr>
        <w:t xml:space="preserve">Figure </w:t>
      </w:r>
      <w:r w:rsidR="00985DD6">
        <w:rPr>
          <w:b w:val="0"/>
          <w:bCs/>
          <w:sz w:val="20"/>
        </w:rPr>
        <w:fldChar w:fldCharType="begin"/>
      </w:r>
      <w:r>
        <w:rPr>
          <w:b w:val="0"/>
          <w:bCs/>
          <w:sz w:val="20"/>
        </w:rPr>
        <w:instrText xml:space="preserve"> SEQ Figure \* ARABIC </w:instrText>
      </w:r>
      <w:r w:rsidR="00985DD6">
        <w:rPr>
          <w:b w:val="0"/>
          <w:bCs/>
          <w:sz w:val="20"/>
        </w:rPr>
        <w:fldChar w:fldCharType="separate"/>
      </w:r>
      <w:r w:rsidR="003D7824">
        <w:rPr>
          <w:b w:val="0"/>
          <w:bCs/>
          <w:noProof/>
          <w:sz w:val="20"/>
        </w:rPr>
        <w:t>2</w:t>
      </w:r>
      <w:r w:rsidR="00985DD6">
        <w:rPr>
          <w:b w:val="0"/>
          <w:bCs/>
          <w:sz w:val="20"/>
        </w:rPr>
        <w:fldChar w:fldCharType="end"/>
      </w:r>
      <w:bookmarkEnd w:id="58"/>
      <w:r>
        <w:rPr>
          <w:rFonts w:hint="eastAsia"/>
          <w:b w:val="0"/>
          <w:bCs/>
          <w:sz w:val="20"/>
        </w:rPr>
        <w:t xml:space="preserve"> PSCCH/PSSCH/PSFCH multiplexing in a slot</w:t>
      </w:r>
    </w:p>
    <w:p w:rsidR="006C2EDC" w:rsidRDefault="006C2EDC" w:rsidP="006C2EDC">
      <w:pPr>
        <w:spacing w:before="120" w:after="120"/>
        <w:jc w:val="center"/>
        <w:rPr>
          <w:sz w:val="20"/>
        </w:rPr>
      </w:pPr>
      <w:r>
        <w:rPr>
          <w:rFonts w:hint="eastAsia"/>
          <w:noProof/>
          <w:sz w:val="20"/>
        </w:rPr>
        <w:drawing>
          <wp:inline distT="0" distB="0" distL="114300" distR="114300">
            <wp:extent cx="2119978" cy="2033124"/>
            <wp:effectExtent l="0" t="0" r="0" b="5715"/>
            <wp:docPr id="7" name="图片 7" descr="No PSFCH channel multiplexing within resource po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No PSFCH channel multiplexing within resource pool"/>
                    <pic:cNvPicPr>
                      <a:picLocks noChangeAspect="1"/>
                    </pic:cNvPicPr>
                  </pic:nvPicPr>
                  <pic:blipFill>
                    <a:blip r:embed="rId10" cstate="print"/>
                    <a:stretch>
                      <a:fillRect/>
                    </a:stretch>
                  </pic:blipFill>
                  <pic:spPr>
                    <a:xfrm>
                      <a:off x="0" y="0"/>
                      <a:ext cx="2128341" cy="2041144"/>
                    </a:xfrm>
                    <a:prstGeom prst="rect">
                      <a:avLst/>
                    </a:prstGeom>
                  </pic:spPr>
                </pic:pic>
              </a:graphicData>
            </a:graphic>
          </wp:inline>
        </w:drawing>
      </w:r>
    </w:p>
    <w:p w:rsidR="006C2EDC" w:rsidRDefault="006C2EDC" w:rsidP="006C2EDC">
      <w:pPr>
        <w:pStyle w:val="Caption"/>
        <w:jc w:val="center"/>
        <w:rPr>
          <w:b w:val="0"/>
          <w:bCs/>
          <w:sz w:val="20"/>
        </w:rPr>
      </w:pPr>
      <w:bookmarkStart w:id="59" w:name="_Ref30223"/>
      <w:r>
        <w:rPr>
          <w:b w:val="0"/>
          <w:bCs/>
          <w:sz w:val="20"/>
        </w:rPr>
        <w:t xml:space="preserve">Figure </w:t>
      </w:r>
      <w:r w:rsidR="00985DD6">
        <w:rPr>
          <w:b w:val="0"/>
          <w:bCs/>
          <w:sz w:val="20"/>
        </w:rPr>
        <w:fldChar w:fldCharType="begin"/>
      </w:r>
      <w:r>
        <w:rPr>
          <w:b w:val="0"/>
          <w:bCs/>
          <w:sz w:val="20"/>
        </w:rPr>
        <w:instrText xml:space="preserve"> SEQ Figure \* ARABIC </w:instrText>
      </w:r>
      <w:r w:rsidR="00985DD6">
        <w:rPr>
          <w:b w:val="0"/>
          <w:bCs/>
          <w:sz w:val="20"/>
        </w:rPr>
        <w:fldChar w:fldCharType="separate"/>
      </w:r>
      <w:r w:rsidR="003D7824">
        <w:rPr>
          <w:b w:val="0"/>
          <w:bCs/>
          <w:noProof/>
          <w:sz w:val="20"/>
        </w:rPr>
        <w:t>3</w:t>
      </w:r>
      <w:r w:rsidR="00985DD6">
        <w:rPr>
          <w:b w:val="0"/>
          <w:bCs/>
          <w:sz w:val="20"/>
        </w:rPr>
        <w:fldChar w:fldCharType="end"/>
      </w:r>
      <w:bookmarkEnd w:id="59"/>
      <w:r>
        <w:rPr>
          <w:rFonts w:hint="eastAsia"/>
          <w:b w:val="0"/>
          <w:bCs/>
          <w:sz w:val="20"/>
        </w:rPr>
        <w:t xml:space="preserve"> PSCCH/PSSCH multiplexing in a slot</w:t>
      </w:r>
    </w:p>
    <w:p w:rsidR="00096470" w:rsidRDefault="00562CE6">
      <w:pPr>
        <w:spacing w:before="120" w:after="120"/>
        <w:rPr>
          <w:sz w:val="20"/>
        </w:rPr>
      </w:pPr>
      <w:r>
        <w:rPr>
          <w:rFonts w:hint="eastAsia"/>
          <w:sz w:val="20"/>
        </w:rPr>
        <w:lastRenderedPageBreak/>
        <w:t xml:space="preserve">A typical structure of channels within a sidelink slot is illustrated in </w:t>
      </w:r>
      <w:r w:rsidR="00985DD6">
        <w:rPr>
          <w:rFonts w:hint="eastAsia"/>
          <w:sz w:val="20"/>
        </w:rPr>
        <w:fldChar w:fldCharType="begin"/>
      </w:r>
      <w:r>
        <w:rPr>
          <w:rFonts w:hint="eastAsia"/>
          <w:sz w:val="20"/>
        </w:rPr>
        <w:instrText xml:space="preserve"> REF _Ref12075 \h </w:instrText>
      </w:r>
      <w:r w:rsidR="00985DD6">
        <w:rPr>
          <w:rFonts w:hint="eastAsia"/>
          <w:sz w:val="20"/>
        </w:rPr>
      </w:r>
      <w:r w:rsidR="00985DD6">
        <w:rPr>
          <w:rFonts w:hint="eastAsia"/>
          <w:sz w:val="20"/>
        </w:rPr>
        <w:fldChar w:fldCharType="separate"/>
      </w:r>
      <w:r w:rsidR="003D7824">
        <w:rPr>
          <w:b/>
          <w:bCs/>
          <w:sz w:val="20"/>
        </w:rPr>
        <w:t xml:space="preserve">Figure </w:t>
      </w:r>
      <w:r w:rsidR="003D7824">
        <w:rPr>
          <w:b/>
          <w:bCs/>
          <w:noProof/>
          <w:sz w:val="20"/>
        </w:rPr>
        <w:t>2</w:t>
      </w:r>
      <w:r w:rsidR="00985DD6">
        <w:rPr>
          <w:rFonts w:hint="eastAsia"/>
          <w:sz w:val="20"/>
        </w:rPr>
        <w:fldChar w:fldCharType="end"/>
      </w:r>
      <w:r>
        <w:rPr>
          <w:rFonts w:hint="eastAsia"/>
          <w:sz w:val="20"/>
        </w:rPr>
        <w:t xml:space="preserve">. PSCCH/PSSCH and PSFCH is TDM within slot. For the case that PSFCH is not assigned in the resource pool, the channel multiplexing structure is shown as </w:t>
      </w:r>
      <w:r w:rsidR="00985DD6">
        <w:rPr>
          <w:rFonts w:hint="eastAsia"/>
          <w:sz w:val="20"/>
        </w:rPr>
        <w:fldChar w:fldCharType="begin"/>
      </w:r>
      <w:r>
        <w:rPr>
          <w:rFonts w:hint="eastAsia"/>
          <w:sz w:val="20"/>
        </w:rPr>
        <w:instrText xml:space="preserve"> REF _Ref30223 \h </w:instrText>
      </w:r>
      <w:r w:rsidR="00985DD6">
        <w:rPr>
          <w:rFonts w:hint="eastAsia"/>
          <w:sz w:val="20"/>
        </w:rPr>
      </w:r>
      <w:r w:rsidR="00985DD6">
        <w:rPr>
          <w:rFonts w:hint="eastAsia"/>
          <w:sz w:val="20"/>
        </w:rPr>
        <w:fldChar w:fldCharType="separate"/>
      </w:r>
      <w:r w:rsidR="003D7824">
        <w:rPr>
          <w:b/>
          <w:bCs/>
          <w:sz w:val="20"/>
        </w:rPr>
        <w:t xml:space="preserve">Figure </w:t>
      </w:r>
      <w:r w:rsidR="003D7824">
        <w:rPr>
          <w:b/>
          <w:bCs/>
          <w:noProof/>
          <w:sz w:val="20"/>
        </w:rPr>
        <w:t>3</w:t>
      </w:r>
      <w:r w:rsidR="00985DD6">
        <w:rPr>
          <w:rFonts w:hint="eastAsia"/>
          <w:sz w:val="20"/>
        </w:rPr>
        <w:fldChar w:fldCharType="end"/>
      </w:r>
      <w:r>
        <w:rPr>
          <w:rFonts w:hint="eastAsia"/>
          <w:sz w:val="20"/>
        </w:rPr>
        <w:t>.</w:t>
      </w:r>
    </w:p>
    <w:p w:rsidR="00096470" w:rsidRDefault="00562CE6">
      <w:pPr>
        <w:spacing w:before="120" w:after="120"/>
        <w:rPr>
          <w:sz w:val="20"/>
        </w:rPr>
      </w:pPr>
      <w:r>
        <w:rPr>
          <w:rFonts w:hint="eastAsia"/>
          <w:sz w:val="20"/>
        </w:rPr>
        <w:t>Considering the UE Tx/Rx switching time, GP symbol should be allocated for the cases:</w:t>
      </w:r>
    </w:p>
    <w:p w:rsidR="00096470" w:rsidRDefault="00562CE6">
      <w:pPr>
        <w:pStyle w:val="ListParagraph"/>
        <w:numPr>
          <w:ilvl w:val="0"/>
          <w:numId w:val="11"/>
        </w:numPr>
        <w:spacing w:before="120" w:after="120"/>
        <w:rPr>
          <w:sz w:val="20"/>
          <w:szCs w:val="20"/>
        </w:rPr>
      </w:pPr>
      <w:r>
        <w:rPr>
          <w:rFonts w:hint="eastAsia"/>
          <w:sz w:val="20"/>
          <w:szCs w:val="20"/>
        </w:rPr>
        <w:t>Case 1: the symbol after the PSSCH resource</w:t>
      </w:r>
    </w:p>
    <w:p w:rsidR="00096470" w:rsidRDefault="00562CE6">
      <w:pPr>
        <w:pStyle w:val="ListParagraph"/>
        <w:numPr>
          <w:ilvl w:val="0"/>
          <w:numId w:val="11"/>
        </w:numPr>
        <w:spacing w:before="120" w:after="120"/>
        <w:rPr>
          <w:sz w:val="20"/>
          <w:szCs w:val="20"/>
        </w:rPr>
      </w:pPr>
      <w:r>
        <w:rPr>
          <w:rFonts w:hint="eastAsia"/>
          <w:sz w:val="20"/>
          <w:szCs w:val="20"/>
        </w:rPr>
        <w:t xml:space="preserve">Case 2: the symbol after the PSFCH resource </w:t>
      </w:r>
    </w:p>
    <w:p w:rsidR="00096470" w:rsidRPr="00CA5603" w:rsidRDefault="00562CE6">
      <w:pPr>
        <w:pStyle w:val="YJ-Proposal"/>
        <w:spacing w:before="120" w:after="120"/>
        <w:rPr>
          <w:lang w:val="en-US" w:eastAsia="zh-CN"/>
        </w:rPr>
      </w:pPr>
      <w:bookmarkStart w:id="60" w:name="_Toc28719"/>
      <w:bookmarkStart w:id="61" w:name="_Toc28882"/>
      <w:bookmarkStart w:id="62" w:name="_Toc11107"/>
      <w:bookmarkStart w:id="63" w:name="_Toc23429"/>
      <w:bookmarkStart w:id="64" w:name="_Toc19459"/>
      <w:bookmarkStart w:id="65" w:name="_Toc20774554"/>
      <w:r w:rsidRPr="003307D7">
        <w:rPr>
          <w:rFonts w:hint="eastAsia"/>
          <w:szCs w:val="22"/>
          <w:lang w:val="en-US" w:eastAsia="zh-CN"/>
        </w:rPr>
        <w:t>GP symbol should be allocated on the symbol after PSSCH / PSFCH resource</w:t>
      </w:r>
      <w:r w:rsidRPr="00CA5603">
        <w:rPr>
          <w:rFonts w:hint="eastAsia"/>
          <w:szCs w:val="22"/>
          <w:lang w:val="en-US" w:eastAsia="zh-CN"/>
        </w:rPr>
        <w:t>.</w:t>
      </w:r>
      <w:bookmarkEnd w:id="60"/>
      <w:bookmarkEnd w:id="61"/>
      <w:bookmarkEnd w:id="62"/>
      <w:bookmarkEnd w:id="63"/>
      <w:bookmarkEnd w:id="64"/>
      <w:bookmarkEnd w:id="65"/>
      <w:r w:rsidR="004D54E8" w:rsidRPr="00CA5603">
        <w:rPr>
          <w:szCs w:val="22"/>
          <w:lang w:val="en-US" w:eastAsia="zh-CN"/>
        </w:rPr>
        <w:t xml:space="preserve"> </w:t>
      </w:r>
    </w:p>
    <w:p w:rsidR="00096470" w:rsidRDefault="00562CE6">
      <w:pPr>
        <w:spacing w:before="120" w:after="120"/>
        <w:rPr>
          <w:sz w:val="20"/>
        </w:rPr>
      </w:pPr>
      <w:r>
        <w:rPr>
          <w:rFonts w:hint="eastAsia"/>
          <w:sz w:val="20"/>
        </w:rPr>
        <w:t>According to the sidelink channel structure shown above, it is worth considering the situation when a subset of symbols in a slot is configured as sidelink resources. For the case that part of a slot is available, the multiplexing structure of sidelink channels should be the same as the case in a whole slot. While the number of symbols for PSCCH, PSFCH and GP cannot be cut down, a minimum value of symbols can used for sidelink within a slot should be defined to ensure a reasonable structure for sidelink communication. To determine the minimum value, the factors should be considered including: GP, PSCCH resource unit, requirement of PSSCH, etc.</w:t>
      </w:r>
    </w:p>
    <w:p w:rsidR="00096470" w:rsidRDefault="00562CE6">
      <w:pPr>
        <w:pStyle w:val="YJ-Proposal"/>
        <w:spacing w:before="120" w:after="120"/>
        <w:rPr>
          <w:lang w:val="en-US" w:eastAsia="zh-CN"/>
        </w:rPr>
      </w:pPr>
      <w:bookmarkStart w:id="66" w:name="_Toc26777"/>
      <w:bookmarkStart w:id="67" w:name="_Toc21040"/>
      <w:bookmarkStart w:id="68" w:name="_Toc2652"/>
      <w:bookmarkStart w:id="69" w:name="_Toc19099"/>
      <w:bookmarkStart w:id="70" w:name="_Toc5435"/>
      <w:bookmarkStart w:id="71" w:name="_Toc20774555"/>
      <w:r>
        <w:rPr>
          <w:rFonts w:hint="eastAsia"/>
          <w:lang w:val="en-US" w:eastAsia="zh-CN"/>
        </w:rPr>
        <w:t xml:space="preserve">For the case that a subset of symbols in a slot are configured as sidelink resource, one minimum number of </w:t>
      </w:r>
      <w:r>
        <w:rPr>
          <w:lang w:val="en-US" w:eastAsia="zh-CN"/>
        </w:rPr>
        <w:t xml:space="preserve">sidelink </w:t>
      </w:r>
      <w:r>
        <w:rPr>
          <w:rFonts w:hint="eastAsia"/>
          <w:lang w:val="en-US" w:eastAsia="zh-CN"/>
        </w:rPr>
        <w:t xml:space="preserve">symbols </w:t>
      </w:r>
      <w:r w:rsidR="004D54E8">
        <w:rPr>
          <w:lang w:val="en-US" w:eastAsia="zh-CN"/>
        </w:rPr>
        <w:t xml:space="preserve">in a slot </w:t>
      </w:r>
      <w:r>
        <w:rPr>
          <w:rFonts w:hint="eastAsia"/>
          <w:lang w:val="en-US" w:eastAsia="zh-CN"/>
        </w:rPr>
        <w:t xml:space="preserve">should be defined, </w:t>
      </w:r>
      <w:r>
        <w:rPr>
          <w:lang w:val="en-US" w:eastAsia="zh-CN"/>
        </w:rPr>
        <w:t xml:space="preserve">with </w:t>
      </w:r>
      <w:r>
        <w:rPr>
          <w:rFonts w:hint="eastAsia"/>
          <w:lang w:val="en-US" w:eastAsia="zh-CN"/>
        </w:rPr>
        <w:t>the following factors being considered:</w:t>
      </w:r>
      <w:bookmarkEnd w:id="66"/>
      <w:bookmarkEnd w:id="67"/>
      <w:bookmarkEnd w:id="68"/>
      <w:bookmarkEnd w:id="69"/>
      <w:bookmarkEnd w:id="70"/>
      <w:bookmarkEnd w:id="71"/>
      <w:r>
        <w:rPr>
          <w:rFonts w:hint="eastAsia"/>
          <w:lang w:val="en-US" w:eastAsia="zh-CN"/>
        </w:rPr>
        <w:t xml:space="preserve"> </w:t>
      </w:r>
    </w:p>
    <w:p w:rsidR="00096470" w:rsidRDefault="00562CE6">
      <w:pPr>
        <w:pStyle w:val="sub-proposal"/>
        <w:spacing w:before="120" w:after="120"/>
        <w:rPr>
          <w:lang w:val="en-US" w:eastAsia="zh-CN"/>
        </w:rPr>
      </w:pPr>
      <w:bookmarkStart w:id="72" w:name="_Toc27605"/>
      <w:bookmarkStart w:id="73" w:name="_Toc6793"/>
      <w:bookmarkStart w:id="74" w:name="_Toc3243"/>
      <w:bookmarkStart w:id="75" w:name="_Toc26343"/>
      <w:bookmarkStart w:id="76" w:name="_Toc27156"/>
      <w:bookmarkStart w:id="77" w:name="_Toc9208"/>
      <w:bookmarkStart w:id="78" w:name="_Toc20774556"/>
      <w:r>
        <w:rPr>
          <w:rFonts w:hint="eastAsia"/>
          <w:lang w:val="en-US" w:eastAsia="zh-CN"/>
        </w:rPr>
        <w:t>GP</w:t>
      </w:r>
      <w:bookmarkEnd w:id="72"/>
      <w:r>
        <w:rPr>
          <w:rFonts w:hint="eastAsia"/>
          <w:lang w:val="en-US" w:eastAsia="zh-CN"/>
        </w:rPr>
        <w:t xml:space="preserve"> symbol</w:t>
      </w:r>
      <w:bookmarkEnd w:id="73"/>
      <w:bookmarkEnd w:id="74"/>
      <w:bookmarkEnd w:id="75"/>
      <w:bookmarkEnd w:id="76"/>
      <w:bookmarkEnd w:id="77"/>
      <w:bookmarkEnd w:id="78"/>
    </w:p>
    <w:p w:rsidR="00096470" w:rsidRDefault="00562CE6">
      <w:pPr>
        <w:pStyle w:val="sub-proposal"/>
        <w:spacing w:before="120" w:after="120"/>
        <w:rPr>
          <w:lang w:val="en-US" w:eastAsia="zh-CN"/>
        </w:rPr>
      </w:pPr>
      <w:bookmarkStart w:id="79" w:name="_Toc16200"/>
      <w:bookmarkStart w:id="80" w:name="_Toc1053"/>
      <w:bookmarkStart w:id="81" w:name="_Toc14093"/>
      <w:bookmarkStart w:id="82" w:name="_Toc6411"/>
      <w:bookmarkStart w:id="83" w:name="_Toc16495"/>
      <w:bookmarkStart w:id="84" w:name="_Toc17631"/>
      <w:bookmarkStart w:id="85" w:name="_Toc20774557"/>
      <w:r>
        <w:rPr>
          <w:rFonts w:hint="eastAsia"/>
          <w:lang w:val="en-US" w:eastAsia="zh-CN"/>
        </w:rPr>
        <w:t>The number of symbols used as PSCCH</w:t>
      </w:r>
      <w:bookmarkEnd w:id="79"/>
      <w:bookmarkEnd w:id="80"/>
      <w:bookmarkEnd w:id="81"/>
      <w:bookmarkEnd w:id="82"/>
      <w:bookmarkEnd w:id="83"/>
      <w:bookmarkEnd w:id="84"/>
      <w:bookmarkEnd w:id="85"/>
    </w:p>
    <w:p w:rsidR="00096470" w:rsidRDefault="00562CE6">
      <w:pPr>
        <w:pStyle w:val="sub-proposal"/>
        <w:spacing w:before="120" w:after="120"/>
        <w:rPr>
          <w:lang w:val="en-US" w:eastAsia="zh-CN"/>
        </w:rPr>
      </w:pPr>
      <w:bookmarkStart w:id="86" w:name="_Toc20774558"/>
      <w:r>
        <w:rPr>
          <w:rFonts w:hint="eastAsia"/>
          <w:lang w:val="en-US" w:eastAsia="zh-CN"/>
        </w:rPr>
        <w:t>The number of symbols used as PSFCH</w:t>
      </w:r>
      <w:bookmarkEnd w:id="86"/>
    </w:p>
    <w:p w:rsidR="00096470" w:rsidRDefault="00562CE6">
      <w:pPr>
        <w:pStyle w:val="sub-proposal"/>
        <w:spacing w:before="120" w:after="120"/>
        <w:rPr>
          <w:szCs w:val="22"/>
          <w:lang w:val="en-US" w:eastAsia="zh-CN"/>
        </w:rPr>
      </w:pPr>
      <w:bookmarkStart w:id="87" w:name="_Toc25191"/>
      <w:bookmarkStart w:id="88" w:name="_Toc14663"/>
      <w:bookmarkStart w:id="89" w:name="_Toc1451"/>
      <w:bookmarkStart w:id="90" w:name="_Toc5754"/>
      <w:bookmarkStart w:id="91" w:name="_Toc9328"/>
      <w:bookmarkStart w:id="92" w:name="_Toc23172"/>
      <w:bookmarkStart w:id="93" w:name="_Toc20774559"/>
      <w:r>
        <w:rPr>
          <w:rFonts w:hint="eastAsia"/>
          <w:lang w:val="en-US" w:eastAsia="zh-CN"/>
        </w:rPr>
        <w:t>Reasonable number of symbols for PSSCH</w:t>
      </w:r>
      <w:bookmarkEnd w:id="87"/>
      <w:bookmarkEnd w:id="88"/>
      <w:bookmarkEnd w:id="89"/>
      <w:bookmarkEnd w:id="90"/>
      <w:bookmarkEnd w:id="91"/>
      <w:bookmarkEnd w:id="92"/>
      <w:bookmarkEnd w:id="93"/>
    </w:p>
    <w:p w:rsidR="00096470" w:rsidRDefault="00562CE6">
      <w:pPr>
        <w:pStyle w:val="Heading3"/>
        <w:spacing w:after="120"/>
        <w:ind w:right="210"/>
        <w:rPr>
          <w:szCs w:val="22"/>
        </w:rPr>
      </w:pPr>
      <w:r>
        <w:rPr>
          <w:rFonts w:hint="eastAsia"/>
          <w:szCs w:val="22"/>
        </w:rPr>
        <w:t>Slot aggregation</w:t>
      </w:r>
    </w:p>
    <w:p w:rsidR="00096470" w:rsidRDefault="00562CE6">
      <w:pPr>
        <w:spacing w:before="120" w:after="120"/>
        <w:rPr>
          <w:sz w:val="20"/>
        </w:rPr>
      </w:pPr>
      <w:r>
        <w:rPr>
          <w:rFonts w:hint="eastAsia"/>
          <w:sz w:val="20"/>
        </w:rPr>
        <w:t>For NR sidelink, several different numerologies are supported and larger sub-carrier spacing, such as 120kHz, leads to shorter symbol length. Because AGC training time and GP for Tx/Rx switching cost a couple of symbols, especially for larger SCS, it is proposed to support slot aggregation for sidelink transmission. In details, it</w:t>
      </w:r>
      <w:r w:rsidR="00024AB6">
        <w:rPr>
          <w:rFonts w:hint="eastAsia"/>
          <w:sz w:val="20"/>
        </w:rPr>
        <w:t xml:space="preserve"> means using more than one slot</w:t>
      </w:r>
      <w:r>
        <w:rPr>
          <w:rFonts w:hint="eastAsia"/>
          <w:sz w:val="20"/>
        </w:rPr>
        <w:t xml:space="preserve"> as a PSCCH/PSSCH resource in time domain.</w:t>
      </w:r>
    </w:p>
    <w:p w:rsidR="00096470" w:rsidRDefault="00562CE6">
      <w:pPr>
        <w:spacing w:before="120" w:after="120"/>
        <w:rPr>
          <w:sz w:val="20"/>
        </w:rPr>
      </w:pPr>
      <w:r>
        <w:rPr>
          <w:rFonts w:hint="eastAsia"/>
          <w:sz w:val="20"/>
        </w:rPr>
        <w:t xml:space="preserve">Within a resource pool, a general sidelink channel structure proposed above is locating PSCCH and relevant PSSCH resource in each slot. For the case that slot aggregation is enabled, the similar structure of PSCCH and PSSCH should be extended to a slot set where the aggregated slots in a slot set should be used as a sidelink TTI. Using the slot set as an integral TTI, PSCCH resource in the first slot within the set and PSSCH resource extending to all the slots could benefit the sidelink resource efficiency, as shown in </w:t>
      </w:r>
      <w:r w:rsidR="00985DD6">
        <w:rPr>
          <w:rFonts w:hint="eastAsia"/>
          <w:sz w:val="20"/>
        </w:rPr>
        <w:fldChar w:fldCharType="begin"/>
      </w:r>
      <w:r>
        <w:rPr>
          <w:rFonts w:hint="eastAsia"/>
          <w:sz w:val="20"/>
        </w:rPr>
        <w:instrText xml:space="preserve"> REF _Ref3234 \h </w:instrText>
      </w:r>
      <w:r w:rsidR="00985DD6">
        <w:rPr>
          <w:rFonts w:hint="eastAsia"/>
          <w:sz w:val="20"/>
        </w:rPr>
      </w:r>
      <w:r w:rsidR="00985DD6">
        <w:rPr>
          <w:rFonts w:hint="eastAsia"/>
          <w:sz w:val="20"/>
        </w:rPr>
        <w:fldChar w:fldCharType="separate"/>
      </w:r>
      <w:r w:rsidR="003D7824">
        <w:rPr>
          <w:b/>
          <w:bCs/>
          <w:sz w:val="20"/>
        </w:rPr>
        <w:t xml:space="preserve">Figure </w:t>
      </w:r>
      <w:r w:rsidR="003D7824">
        <w:rPr>
          <w:b/>
          <w:bCs/>
          <w:noProof/>
          <w:sz w:val="20"/>
        </w:rPr>
        <w:t>4</w:t>
      </w:r>
      <w:r w:rsidR="00985DD6">
        <w:rPr>
          <w:rFonts w:hint="eastAsia"/>
          <w:sz w:val="20"/>
        </w:rPr>
        <w:fldChar w:fldCharType="end"/>
      </w:r>
      <w:r>
        <w:rPr>
          <w:rFonts w:hint="eastAsia"/>
          <w:sz w:val="20"/>
        </w:rPr>
        <w:t>.</w:t>
      </w:r>
    </w:p>
    <w:p w:rsidR="00096470" w:rsidRDefault="00562CE6">
      <w:pPr>
        <w:spacing w:before="120" w:after="120"/>
        <w:jc w:val="center"/>
        <w:rPr>
          <w:sz w:val="20"/>
        </w:rPr>
      </w:pPr>
      <w:r>
        <w:rPr>
          <w:noProof/>
          <w:sz w:val="20"/>
        </w:rPr>
        <w:drawing>
          <wp:inline distT="0" distB="0" distL="114300" distR="114300">
            <wp:extent cx="2759710" cy="1862455"/>
            <wp:effectExtent l="0" t="0" r="2540" b="4445"/>
            <wp:docPr id="18" name="图片 18" descr="slot aggreg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slot aggregation"/>
                    <pic:cNvPicPr>
                      <a:picLocks noChangeAspect="1"/>
                    </pic:cNvPicPr>
                  </pic:nvPicPr>
                  <pic:blipFill>
                    <a:blip r:embed="rId11" cstate="print"/>
                    <a:stretch>
                      <a:fillRect/>
                    </a:stretch>
                  </pic:blipFill>
                  <pic:spPr>
                    <a:xfrm>
                      <a:off x="0" y="0"/>
                      <a:ext cx="2759710" cy="1862455"/>
                    </a:xfrm>
                    <a:prstGeom prst="rect">
                      <a:avLst/>
                    </a:prstGeom>
                  </pic:spPr>
                </pic:pic>
              </a:graphicData>
            </a:graphic>
          </wp:inline>
        </w:drawing>
      </w:r>
    </w:p>
    <w:p w:rsidR="00096470" w:rsidRDefault="00562CE6">
      <w:pPr>
        <w:pStyle w:val="Caption"/>
        <w:jc w:val="center"/>
        <w:rPr>
          <w:b w:val="0"/>
          <w:bCs/>
          <w:sz w:val="20"/>
        </w:rPr>
      </w:pPr>
      <w:bookmarkStart w:id="94" w:name="_Ref3234"/>
      <w:r>
        <w:rPr>
          <w:b w:val="0"/>
          <w:bCs/>
          <w:sz w:val="20"/>
        </w:rPr>
        <w:t xml:space="preserve">Figure </w:t>
      </w:r>
      <w:r w:rsidR="00985DD6">
        <w:rPr>
          <w:b w:val="0"/>
          <w:bCs/>
          <w:sz w:val="20"/>
        </w:rPr>
        <w:fldChar w:fldCharType="begin"/>
      </w:r>
      <w:r>
        <w:rPr>
          <w:b w:val="0"/>
          <w:bCs/>
          <w:sz w:val="20"/>
        </w:rPr>
        <w:instrText xml:space="preserve"> SEQ Figure \* ARABIC </w:instrText>
      </w:r>
      <w:r w:rsidR="00985DD6">
        <w:rPr>
          <w:b w:val="0"/>
          <w:bCs/>
          <w:sz w:val="20"/>
        </w:rPr>
        <w:fldChar w:fldCharType="separate"/>
      </w:r>
      <w:r w:rsidR="003D7824">
        <w:rPr>
          <w:b w:val="0"/>
          <w:bCs/>
          <w:noProof/>
          <w:sz w:val="20"/>
        </w:rPr>
        <w:t>4</w:t>
      </w:r>
      <w:r w:rsidR="00985DD6">
        <w:rPr>
          <w:b w:val="0"/>
          <w:bCs/>
          <w:sz w:val="20"/>
        </w:rPr>
        <w:fldChar w:fldCharType="end"/>
      </w:r>
      <w:bookmarkEnd w:id="94"/>
      <w:r>
        <w:rPr>
          <w:rFonts w:hint="eastAsia"/>
          <w:b w:val="0"/>
          <w:bCs/>
          <w:sz w:val="20"/>
        </w:rPr>
        <w:t xml:space="preserve"> PSCCH/PSSCH structure with slot aggregation </w:t>
      </w:r>
    </w:p>
    <w:p w:rsidR="00096470" w:rsidRDefault="00562CE6">
      <w:pPr>
        <w:pStyle w:val="YJ-Proposal"/>
        <w:spacing w:before="120" w:after="120"/>
        <w:rPr>
          <w:szCs w:val="22"/>
          <w:lang w:val="en-US" w:eastAsia="zh-CN"/>
        </w:rPr>
      </w:pPr>
      <w:bookmarkStart w:id="95" w:name="_Toc20774560"/>
      <w:r>
        <w:rPr>
          <w:rFonts w:hint="eastAsia"/>
          <w:lang w:val="en-US" w:eastAsia="zh-CN"/>
        </w:rPr>
        <w:t>For the case of slot aggregation, PSCCH resources should be allocated in the first slot within each aggregated slot set.</w:t>
      </w:r>
      <w:bookmarkEnd w:id="95"/>
    </w:p>
    <w:p w:rsidR="00096470" w:rsidRDefault="00562CE6">
      <w:pPr>
        <w:spacing w:before="120" w:after="120"/>
      </w:pPr>
      <w:r>
        <w:rPr>
          <w:rFonts w:hint="eastAsia"/>
          <w:sz w:val="20"/>
        </w:rPr>
        <w:lastRenderedPageBreak/>
        <w:t>Besides, in order to decrease the complexity of SCI blind decoding process, it is preferred to make sure that all UEs have the same understanding about the slot aggregation structure in a resource pool, i.e. the slot aggregation level and position should be commonly configured. Otherwise, if different transmitting UEs determine the number and position of slots as an aggregated set independently, from the receiving UE</w:t>
      </w:r>
      <w:r>
        <w:rPr>
          <w:sz w:val="20"/>
        </w:rPr>
        <w:t>’</w:t>
      </w:r>
      <w:r>
        <w:rPr>
          <w:rFonts w:hint="eastAsia"/>
          <w:sz w:val="20"/>
        </w:rPr>
        <w:t xml:space="preserve">s perspective, there may be SCI transmitting in every slot in the resource pool. It would discount the effect of using slot aggregation on sidelink. Therefore, we prefer to (pre-)configure the slot aggregation for PSCCH/PSSCH per sidelink resource pool. </w:t>
      </w:r>
    </w:p>
    <w:p w:rsidR="00096470" w:rsidRDefault="00562CE6">
      <w:pPr>
        <w:pStyle w:val="YJ-Proposal"/>
        <w:spacing w:before="120" w:after="120"/>
        <w:rPr>
          <w:szCs w:val="22"/>
          <w:lang w:val="en-US" w:eastAsia="zh-CN"/>
        </w:rPr>
      </w:pPr>
      <w:bookmarkStart w:id="96" w:name="_Toc7752389"/>
      <w:bookmarkStart w:id="97" w:name="_Toc7638"/>
      <w:bookmarkStart w:id="98" w:name="_Toc29599"/>
      <w:bookmarkStart w:id="99" w:name="_Toc13485"/>
      <w:bookmarkStart w:id="100" w:name="_Toc17765"/>
      <w:bookmarkStart w:id="101" w:name="_Toc18001"/>
      <w:bookmarkStart w:id="102" w:name="_Toc20774561"/>
      <w:r>
        <w:rPr>
          <w:rFonts w:hint="eastAsia"/>
          <w:lang w:val="en-US" w:eastAsia="zh-CN"/>
        </w:rPr>
        <w:t>Slot aggregation for PSCCH/PSSCH should be (pre-)configurable per resource pool.</w:t>
      </w:r>
      <w:bookmarkEnd w:id="96"/>
      <w:bookmarkEnd w:id="97"/>
      <w:bookmarkEnd w:id="98"/>
      <w:bookmarkEnd w:id="99"/>
      <w:bookmarkEnd w:id="100"/>
      <w:bookmarkEnd w:id="101"/>
      <w:bookmarkEnd w:id="102"/>
    </w:p>
    <w:p w:rsidR="00096470" w:rsidRDefault="00562CE6">
      <w:pPr>
        <w:pStyle w:val="Heading2"/>
        <w:spacing w:before="120" w:after="120"/>
        <w:ind w:left="991" w:right="210" w:hangingChars="354" w:hanging="991"/>
        <w:rPr>
          <w:szCs w:val="22"/>
        </w:rPr>
      </w:pPr>
      <w:r>
        <w:rPr>
          <w:rFonts w:hint="eastAsia"/>
          <w:szCs w:val="22"/>
        </w:rPr>
        <w:t xml:space="preserve">Frequency domain </w:t>
      </w:r>
      <w:r>
        <w:rPr>
          <w:szCs w:val="22"/>
        </w:rPr>
        <w:t>continuity</w:t>
      </w:r>
    </w:p>
    <w:p w:rsidR="00096470" w:rsidRDefault="00562CE6">
      <w:pPr>
        <w:spacing w:before="120" w:after="120"/>
        <w:rPr>
          <w:sz w:val="20"/>
          <w:lang w:eastAsia="ko-KR"/>
        </w:rPr>
      </w:pPr>
      <w:r>
        <w:rPr>
          <w:rFonts w:hint="eastAsia"/>
          <w:sz w:val="20"/>
        </w:rPr>
        <w:t xml:space="preserve">The frequency resources of a sidelink resource pool should be indicated within SL BWP using PRB as basic unit. The two options </w:t>
      </w:r>
      <w:r>
        <w:rPr>
          <w:rFonts w:hint="eastAsia"/>
          <w:sz w:val="20"/>
          <w:lang w:eastAsia="ko-KR"/>
        </w:rPr>
        <w:t xml:space="preserve">for the frequency resources of a resource pool </w:t>
      </w:r>
      <w:r>
        <w:rPr>
          <w:rFonts w:hint="eastAsia"/>
          <w:sz w:val="20"/>
        </w:rPr>
        <w:t>are still under discussion:</w:t>
      </w:r>
      <w:r>
        <w:rPr>
          <w:rFonts w:hint="eastAsia"/>
          <w:sz w:val="20"/>
          <w:lang w:eastAsia="ko-KR"/>
        </w:rPr>
        <w:t xml:space="preserve"> </w:t>
      </w:r>
    </w:p>
    <w:p w:rsidR="00096470" w:rsidRDefault="00562CE6">
      <w:pPr>
        <w:pStyle w:val="ListParagraph"/>
        <w:numPr>
          <w:ilvl w:val="0"/>
          <w:numId w:val="11"/>
        </w:numPr>
        <w:spacing w:before="120" w:after="120"/>
        <w:rPr>
          <w:i/>
          <w:iCs/>
          <w:sz w:val="20"/>
          <w:szCs w:val="20"/>
          <w:lang w:eastAsia="ko-KR"/>
        </w:rPr>
      </w:pPr>
      <w:r>
        <w:rPr>
          <w:i/>
          <w:iCs/>
          <w:sz w:val="20"/>
          <w:szCs w:val="20"/>
          <w:lang w:eastAsia="ko-KR"/>
        </w:rPr>
        <w:t xml:space="preserve">Option 1: The resource pool always consists of contiguous </w:t>
      </w:r>
      <w:r>
        <w:rPr>
          <w:rFonts w:hint="eastAsia"/>
          <w:i/>
          <w:iCs/>
          <w:sz w:val="20"/>
          <w:szCs w:val="20"/>
          <w:lang w:eastAsia="ko-KR"/>
        </w:rPr>
        <w:t>P</w:t>
      </w:r>
      <w:r>
        <w:rPr>
          <w:i/>
          <w:iCs/>
          <w:sz w:val="20"/>
          <w:szCs w:val="20"/>
          <w:lang w:eastAsia="ko-KR"/>
        </w:rPr>
        <w:t>RBs</w:t>
      </w:r>
    </w:p>
    <w:p w:rsidR="00096470" w:rsidRDefault="00562CE6">
      <w:pPr>
        <w:pStyle w:val="ListParagraph"/>
        <w:numPr>
          <w:ilvl w:val="0"/>
          <w:numId w:val="11"/>
        </w:numPr>
        <w:spacing w:before="120" w:after="120"/>
        <w:rPr>
          <w:i/>
          <w:iCs/>
          <w:sz w:val="20"/>
          <w:szCs w:val="20"/>
          <w:lang w:eastAsia="ko-KR"/>
        </w:rPr>
      </w:pPr>
      <w:r>
        <w:rPr>
          <w:i/>
          <w:iCs/>
          <w:sz w:val="20"/>
          <w:szCs w:val="20"/>
          <w:lang w:eastAsia="ko-KR"/>
        </w:rPr>
        <w:t xml:space="preserve">Option 2: The resource pool can consist of non-contiguous </w:t>
      </w:r>
      <w:r>
        <w:rPr>
          <w:rFonts w:hint="eastAsia"/>
          <w:i/>
          <w:iCs/>
          <w:sz w:val="20"/>
          <w:szCs w:val="20"/>
          <w:lang w:eastAsia="ko-KR"/>
        </w:rPr>
        <w:t>P</w:t>
      </w:r>
      <w:r>
        <w:rPr>
          <w:i/>
          <w:iCs/>
          <w:sz w:val="20"/>
          <w:szCs w:val="20"/>
          <w:lang w:eastAsia="ko-KR"/>
        </w:rPr>
        <w:t>RBs</w:t>
      </w:r>
    </w:p>
    <w:p w:rsidR="00096470" w:rsidRDefault="00562CE6">
      <w:pPr>
        <w:spacing w:before="120" w:after="120"/>
        <w:rPr>
          <w:sz w:val="20"/>
        </w:rPr>
      </w:pPr>
      <w:r>
        <w:rPr>
          <w:rFonts w:hint="eastAsia"/>
          <w:sz w:val="20"/>
        </w:rPr>
        <w:t>As sub-channel based frequency resource allocation for PSSCH is supported, it is quite natural to divide the contiguous PRBs contained in sidelink resource pool with option 1 into multiple sub-channels. Based on the contiguous PRBs, it is also easy to determine the sub-channel indices which can be used as frequency resource indicator in SCI/DCI.</w:t>
      </w:r>
    </w:p>
    <w:p w:rsidR="00096470" w:rsidRDefault="00562CE6">
      <w:pPr>
        <w:spacing w:before="120" w:after="120"/>
        <w:rPr>
          <w:sz w:val="20"/>
        </w:rPr>
      </w:pPr>
      <w:r>
        <w:rPr>
          <w:rFonts w:hint="eastAsia"/>
          <w:sz w:val="20"/>
        </w:rPr>
        <w:t>With option 2, logical contiguous RBs and sub-channel indices should be introduced in order to hide away the physically non-contiguous PRBs. The agreement about PSSCH transmission is achieved as:</w:t>
      </w:r>
    </w:p>
    <w:p w:rsidR="00096470" w:rsidRDefault="00562CE6">
      <w:pPr>
        <w:pStyle w:val="ListParagraph"/>
        <w:numPr>
          <w:ilvl w:val="0"/>
          <w:numId w:val="11"/>
        </w:numPr>
        <w:spacing w:before="120" w:after="120"/>
        <w:rPr>
          <w:i/>
          <w:iCs/>
          <w:sz w:val="20"/>
          <w:szCs w:val="20"/>
          <w:lang w:eastAsia="ko-KR"/>
        </w:rPr>
      </w:pPr>
      <w:r>
        <w:rPr>
          <w:rFonts w:hint="eastAsia"/>
          <w:i/>
          <w:iCs/>
          <w:sz w:val="20"/>
          <w:szCs w:val="20"/>
          <w:lang w:eastAsia="ko-KR"/>
        </w:rPr>
        <w:t>Transmission of PSSCH is mapped onto contiguous PRBs only</w:t>
      </w:r>
    </w:p>
    <w:p w:rsidR="00096470" w:rsidRDefault="00562CE6">
      <w:pPr>
        <w:spacing w:before="120" w:after="120"/>
        <w:rPr>
          <w:sz w:val="20"/>
        </w:rPr>
      </w:pPr>
      <w:r>
        <w:rPr>
          <w:rFonts w:hint="eastAsia"/>
          <w:sz w:val="20"/>
        </w:rPr>
        <w:t>It means when several sub-channels are used for bearing a PSSCH transmission, the sub-channels must be physical contiguous. While non-contiguous PRB in resource pool leads to non-contiguous sub-channel, it calls for more limitation and complexity for PSSCH resource scheduling and selecting. As more standard efforts are expected for option 2 but with no significant advantages, we prefer to use contiguous PRB for resource pool.</w:t>
      </w:r>
    </w:p>
    <w:p w:rsidR="00096470" w:rsidRDefault="00562CE6">
      <w:pPr>
        <w:pStyle w:val="YJ-Proposal"/>
        <w:spacing w:before="120" w:after="120"/>
        <w:rPr>
          <w:szCs w:val="22"/>
          <w:lang w:val="en-US" w:eastAsia="zh-CN"/>
        </w:rPr>
      </w:pPr>
      <w:bookmarkStart w:id="103" w:name="_Toc12899"/>
      <w:bookmarkStart w:id="104" w:name="_Toc744"/>
      <w:bookmarkStart w:id="105" w:name="_Toc28329"/>
      <w:bookmarkStart w:id="106" w:name="_Ref2322"/>
      <w:bookmarkStart w:id="107" w:name="_Toc7752387"/>
      <w:bookmarkStart w:id="108" w:name="_Toc18570"/>
      <w:bookmarkStart w:id="109" w:name="_Toc12944"/>
      <w:bookmarkStart w:id="110" w:name="_Toc20774562"/>
      <w:r>
        <w:rPr>
          <w:rFonts w:hint="eastAsia"/>
          <w:szCs w:val="22"/>
          <w:lang w:val="en-US" w:eastAsia="zh-CN"/>
        </w:rPr>
        <w:t>The frequency domain resources of a resource pool always consist of contiguous PRBs.</w:t>
      </w:r>
      <w:bookmarkEnd w:id="103"/>
      <w:bookmarkEnd w:id="104"/>
      <w:bookmarkEnd w:id="105"/>
      <w:bookmarkEnd w:id="106"/>
      <w:bookmarkEnd w:id="107"/>
      <w:bookmarkEnd w:id="108"/>
      <w:bookmarkEnd w:id="109"/>
      <w:bookmarkEnd w:id="110"/>
    </w:p>
    <w:p w:rsidR="00096470" w:rsidRDefault="00562CE6">
      <w:pPr>
        <w:pStyle w:val="Heading1"/>
        <w:pBdr>
          <w:top w:val="none" w:sz="0" w:space="1" w:color="auto"/>
          <w:left w:val="none" w:sz="0" w:space="4" w:color="auto"/>
          <w:bottom w:val="none" w:sz="0" w:space="1" w:color="auto"/>
          <w:right w:val="none" w:sz="0" w:space="4" w:color="auto"/>
        </w:pBdr>
        <w:spacing w:before="120" w:after="120"/>
        <w:ind w:left="0"/>
        <w:rPr>
          <w:szCs w:val="22"/>
        </w:rPr>
      </w:pPr>
      <w:r>
        <w:rPr>
          <w:rFonts w:hint="eastAsia"/>
          <w:szCs w:val="22"/>
        </w:rPr>
        <w:t xml:space="preserve">PSCCH </w:t>
      </w:r>
    </w:p>
    <w:p w:rsidR="00096470" w:rsidRDefault="00562CE6">
      <w:pPr>
        <w:pStyle w:val="Heading2"/>
        <w:spacing w:before="120" w:after="120"/>
        <w:ind w:left="991" w:right="210" w:hangingChars="354" w:hanging="991"/>
        <w:rPr>
          <w:szCs w:val="22"/>
        </w:rPr>
      </w:pPr>
      <w:r>
        <w:rPr>
          <w:rFonts w:hint="eastAsia"/>
          <w:szCs w:val="22"/>
        </w:rPr>
        <w:t>Channel unit</w:t>
      </w:r>
    </w:p>
    <w:p w:rsidR="00096470" w:rsidRDefault="00562CE6">
      <w:pPr>
        <w:spacing w:before="120" w:after="120"/>
        <w:rPr>
          <w:sz w:val="20"/>
        </w:rPr>
      </w:pPr>
      <w:r>
        <w:rPr>
          <w:rFonts w:hint="eastAsia"/>
          <w:sz w:val="20"/>
        </w:rPr>
        <w:t xml:space="preserve">It is agreed in RAN 1 #96bis meeting that the starting symbol and the number of symbols for a PSCCH are assumed to be known to the receiving UE before decoding the PSCCH. In other words, a PSCCH resource should be located on some certain resource in time and frequency domain with a known channel unit. </w:t>
      </w:r>
    </w:p>
    <w:p w:rsidR="00096470" w:rsidRDefault="00562CE6">
      <w:pPr>
        <w:spacing w:before="120" w:after="120"/>
        <w:rPr>
          <w:sz w:val="20"/>
        </w:rPr>
      </w:pPr>
      <w:r>
        <w:rPr>
          <w:rFonts w:hint="eastAsia"/>
          <w:sz w:val="20"/>
        </w:rPr>
        <w:t xml:space="preserve">Considering the channel unit of a PSCCH resource, there are two options on defining resource unit for PSCCH: </w:t>
      </w:r>
    </w:p>
    <w:p w:rsidR="00096470" w:rsidRDefault="00562CE6">
      <w:pPr>
        <w:pStyle w:val="ListParagraph"/>
        <w:numPr>
          <w:ilvl w:val="0"/>
          <w:numId w:val="11"/>
        </w:numPr>
        <w:spacing w:before="120" w:after="120"/>
        <w:rPr>
          <w:sz w:val="20"/>
          <w:szCs w:val="20"/>
        </w:rPr>
      </w:pPr>
      <w:r>
        <w:rPr>
          <w:rFonts w:hint="eastAsia"/>
          <w:sz w:val="20"/>
          <w:szCs w:val="20"/>
        </w:rPr>
        <w:t>Option 1:  Fixed resource unit of a PSCCH channel, i.e.</w:t>
      </w:r>
      <w:r>
        <w:rPr>
          <w:sz w:val="20"/>
          <w:szCs w:val="20"/>
        </w:rPr>
        <w:t>,</w:t>
      </w:r>
      <w:r>
        <w:rPr>
          <w:rFonts w:hint="eastAsia"/>
          <w:sz w:val="20"/>
          <w:szCs w:val="20"/>
        </w:rPr>
        <w:t xml:space="preserve"> one PSCCH channel contains </w:t>
      </w:r>
      <w:r>
        <w:rPr>
          <w:rFonts w:hint="eastAsia"/>
          <w:i/>
          <w:sz w:val="20"/>
          <w:szCs w:val="20"/>
        </w:rPr>
        <w:t>l</w:t>
      </w:r>
      <w:r>
        <w:rPr>
          <w:rFonts w:hint="eastAsia"/>
          <w:i/>
          <w:sz w:val="20"/>
          <w:szCs w:val="20"/>
          <w:vertAlign w:val="subscript"/>
        </w:rPr>
        <w:t>0</w:t>
      </w:r>
      <w:r>
        <w:rPr>
          <w:rFonts w:hint="eastAsia"/>
          <w:sz w:val="20"/>
          <w:szCs w:val="20"/>
        </w:rPr>
        <w:t xml:space="preserve"> symbols and </w:t>
      </w:r>
      <w:r>
        <w:rPr>
          <w:rFonts w:hint="eastAsia"/>
          <w:i/>
          <w:sz w:val="20"/>
          <w:szCs w:val="20"/>
        </w:rPr>
        <w:t>k</w:t>
      </w:r>
      <w:r>
        <w:rPr>
          <w:rFonts w:hint="eastAsia"/>
          <w:i/>
          <w:sz w:val="20"/>
          <w:szCs w:val="20"/>
          <w:vertAlign w:val="subscript"/>
        </w:rPr>
        <w:t>0</w:t>
      </w:r>
      <w:r>
        <w:rPr>
          <w:rFonts w:hint="eastAsia"/>
          <w:sz w:val="20"/>
          <w:szCs w:val="20"/>
        </w:rPr>
        <w:t xml:space="preserve"> RBs, where </w:t>
      </w:r>
      <w:r>
        <w:rPr>
          <w:rFonts w:hint="eastAsia"/>
          <w:i/>
          <w:sz w:val="20"/>
          <w:szCs w:val="20"/>
        </w:rPr>
        <w:t>l</w:t>
      </w:r>
      <w:r>
        <w:rPr>
          <w:rFonts w:hint="eastAsia"/>
          <w:i/>
          <w:sz w:val="20"/>
          <w:szCs w:val="20"/>
          <w:vertAlign w:val="subscript"/>
        </w:rPr>
        <w:t>0</w:t>
      </w:r>
      <w:r>
        <w:rPr>
          <w:rFonts w:hint="eastAsia"/>
          <w:sz w:val="20"/>
          <w:szCs w:val="20"/>
        </w:rPr>
        <w:t xml:space="preserve"> and </w:t>
      </w:r>
      <w:r>
        <w:rPr>
          <w:rFonts w:hint="eastAsia"/>
          <w:i/>
          <w:sz w:val="20"/>
          <w:szCs w:val="20"/>
        </w:rPr>
        <w:t>k</w:t>
      </w:r>
      <w:r>
        <w:rPr>
          <w:rFonts w:hint="eastAsia"/>
          <w:i/>
          <w:sz w:val="20"/>
          <w:szCs w:val="20"/>
          <w:vertAlign w:val="subscript"/>
        </w:rPr>
        <w:t>0</w:t>
      </w:r>
      <w:r>
        <w:rPr>
          <w:rFonts w:hint="eastAsia"/>
          <w:sz w:val="20"/>
          <w:szCs w:val="20"/>
        </w:rPr>
        <w:t xml:space="preserve"> </w:t>
      </w:r>
      <w:r>
        <w:rPr>
          <w:sz w:val="20"/>
          <w:szCs w:val="20"/>
        </w:rPr>
        <w:t xml:space="preserve">are fixed numbers. </w:t>
      </w:r>
    </w:p>
    <w:p w:rsidR="00096470" w:rsidRDefault="00562CE6">
      <w:pPr>
        <w:pStyle w:val="ListParagraph"/>
        <w:numPr>
          <w:ilvl w:val="0"/>
          <w:numId w:val="12"/>
        </w:numPr>
        <w:spacing w:before="120" w:after="120"/>
        <w:rPr>
          <w:sz w:val="20"/>
          <w:szCs w:val="20"/>
        </w:rPr>
      </w:pPr>
      <w:r>
        <w:rPr>
          <w:rFonts w:hint="eastAsia"/>
          <w:sz w:val="20"/>
          <w:szCs w:val="20"/>
        </w:rPr>
        <w:t xml:space="preserve">Option 2: </w:t>
      </w:r>
      <w:r>
        <w:rPr>
          <w:rFonts w:eastAsia="SimSun" w:hint="eastAsia"/>
          <w:sz w:val="20"/>
          <w:szCs w:val="20"/>
        </w:rPr>
        <w:t xml:space="preserve"> </w:t>
      </w:r>
      <w:r>
        <w:rPr>
          <w:rFonts w:hint="eastAsia"/>
          <w:sz w:val="20"/>
          <w:szCs w:val="20"/>
        </w:rPr>
        <w:t xml:space="preserve">A few </w:t>
      </w:r>
      <w:r>
        <w:rPr>
          <w:rFonts w:eastAsia="SimSun" w:hint="eastAsia"/>
          <w:sz w:val="20"/>
          <w:szCs w:val="20"/>
        </w:rPr>
        <w:t xml:space="preserve">prospective </w:t>
      </w:r>
      <w:r>
        <w:rPr>
          <w:rFonts w:hint="eastAsia"/>
          <w:sz w:val="20"/>
          <w:szCs w:val="20"/>
        </w:rPr>
        <w:t>values of the resource unit of a PSCCH channel, such as m</w:t>
      </w:r>
      <w:r>
        <w:rPr>
          <w:sz w:val="20"/>
          <w:szCs w:val="20"/>
        </w:rPr>
        <w:t>ultiple combinations</w:t>
      </w:r>
      <w:r>
        <w:rPr>
          <w:rFonts w:hint="eastAsia"/>
          <w:sz w:val="20"/>
          <w:szCs w:val="20"/>
        </w:rPr>
        <w:t xml:space="preserve"> of [</w:t>
      </w:r>
      <w:r>
        <w:rPr>
          <w:rFonts w:hint="eastAsia"/>
          <w:i/>
          <w:sz w:val="20"/>
          <w:szCs w:val="20"/>
        </w:rPr>
        <w:t>l, k</w:t>
      </w:r>
      <w:r>
        <w:rPr>
          <w:rFonts w:hint="eastAsia"/>
          <w:sz w:val="20"/>
          <w:szCs w:val="20"/>
        </w:rPr>
        <w:t xml:space="preserve">], each of which is specific to sidelink parameters, e.g., SCS. </w:t>
      </w:r>
    </w:p>
    <w:p w:rsidR="00096470" w:rsidRDefault="00562CE6">
      <w:pPr>
        <w:spacing w:before="120" w:after="120"/>
        <w:rPr>
          <w:sz w:val="20"/>
        </w:rPr>
      </w:pPr>
      <w:r>
        <w:rPr>
          <w:rFonts w:hint="eastAsia"/>
          <w:sz w:val="20"/>
        </w:rPr>
        <w:t>Obviously, option 1 is a simple way to provide a common processing for SCI detection for all cases. It is independent from the assigned SCS and resource pool configuration. Despite the actual time length and frequency range of a PSCCH resource unit are various according to different SCS, the number of symbols and the number of RBs of a PSCCH resource are fixed values. Furthermore, based on [</w:t>
      </w:r>
      <w:r>
        <w:rPr>
          <w:i/>
          <w:sz w:val="20"/>
        </w:rPr>
        <w:t>l</w:t>
      </w:r>
      <w:r>
        <w:rPr>
          <w:i/>
          <w:sz w:val="20"/>
          <w:vertAlign w:val="subscript"/>
        </w:rPr>
        <w:t>0</w:t>
      </w:r>
      <w:r>
        <w:rPr>
          <w:sz w:val="20"/>
        </w:rPr>
        <w:t>,</w:t>
      </w:r>
      <w:r>
        <w:rPr>
          <w:rFonts w:hint="eastAsia"/>
          <w:sz w:val="20"/>
        </w:rPr>
        <w:t xml:space="preserve"> </w:t>
      </w:r>
      <w:r>
        <w:rPr>
          <w:rFonts w:hint="eastAsia"/>
          <w:i/>
          <w:sz w:val="20"/>
        </w:rPr>
        <w:t>k</w:t>
      </w:r>
      <w:r>
        <w:rPr>
          <w:rFonts w:hint="eastAsia"/>
          <w:i/>
          <w:sz w:val="20"/>
          <w:vertAlign w:val="subscript"/>
        </w:rPr>
        <w:t>0</w:t>
      </w:r>
      <w:r>
        <w:rPr>
          <w:rFonts w:hint="eastAsia"/>
          <w:sz w:val="20"/>
        </w:rPr>
        <w:t xml:space="preserve">] unit of each PSCCH channel, all the PSCCH resources can be easily divided and allocated within a resource pool. </w:t>
      </w:r>
    </w:p>
    <w:p w:rsidR="00096470" w:rsidRDefault="00562CE6">
      <w:pPr>
        <w:spacing w:before="120" w:after="120"/>
        <w:rPr>
          <w:sz w:val="20"/>
        </w:rPr>
      </w:pPr>
      <w:r>
        <w:rPr>
          <w:rFonts w:hint="eastAsia"/>
          <w:sz w:val="20"/>
        </w:rPr>
        <w:t xml:space="preserve">Option 2 offers more flexibility given the PSCCH channel resource unit can be variable according to several factors.  For instance, the channel unit size of a PSCCH can be adapted to SCS, resource pool and number of symbols assigned to sidelink within a slot, and etc. Option 2 introduces more complexity to PSCCH relevant scheme design and SCI detection process because more than one format of a PSCCH resource unit may be used on sidelink.  </w:t>
      </w:r>
    </w:p>
    <w:p w:rsidR="00096470" w:rsidRDefault="00562CE6">
      <w:pPr>
        <w:spacing w:before="120" w:after="120"/>
        <w:rPr>
          <w:sz w:val="20"/>
        </w:rPr>
      </w:pPr>
      <w:r>
        <w:rPr>
          <w:rFonts w:hint="eastAsia"/>
          <w:sz w:val="20"/>
        </w:rPr>
        <w:lastRenderedPageBreak/>
        <w:t xml:space="preserve">Comparing the two options, option 1 can satisfy the requirement of SCI receiving performance with elaborated PSCCH channel unit size and avoid unnecessary complexity of SCI detection. Further, </w:t>
      </w:r>
      <w:r>
        <w:rPr>
          <w:sz w:val="20"/>
        </w:rPr>
        <w:t>given</w:t>
      </w:r>
      <w:r>
        <w:rPr>
          <w:rFonts w:hint="eastAsia"/>
          <w:sz w:val="20"/>
        </w:rPr>
        <w:t xml:space="preserve"> the relevant SCI content and AGC issue, one reasonable definition of PSCCH resource unit </w:t>
      </w:r>
      <w:r>
        <w:rPr>
          <w:sz w:val="20"/>
        </w:rPr>
        <w:t>across</w:t>
      </w:r>
      <w:r>
        <w:rPr>
          <w:rFonts w:hint="eastAsia"/>
          <w:sz w:val="20"/>
        </w:rPr>
        <w:t xml:space="preserve"> 5 symbols and 10 RBs is proposed.</w:t>
      </w:r>
    </w:p>
    <w:p w:rsidR="00096470" w:rsidRDefault="00562CE6">
      <w:pPr>
        <w:spacing w:before="120" w:after="120"/>
        <w:rPr>
          <w:sz w:val="20"/>
        </w:rPr>
      </w:pPr>
      <w:r>
        <w:rPr>
          <w:rFonts w:hint="eastAsia"/>
          <w:sz w:val="20"/>
        </w:rPr>
        <w:t>Based on the analyses above, we prefer:</w:t>
      </w:r>
    </w:p>
    <w:p w:rsidR="00096470" w:rsidRDefault="00562CE6">
      <w:pPr>
        <w:pStyle w:val="YJ-Proposal"/>
        <w:spacing w:before="120" w:after="120"/>
        <w:rPr>
          <w:szCs w:val="22"/>
          <w:lang w:val="en-US" w:eastAsia="zh-CN"/>
        </w:rPr>
      </w:pPr>
      <w:bookmarkStart w:id="111" w:name="_Toc18790"/>
      <w:bookmarkStart w:id="112" w:name="_Toc26648"/>
      <w:bookmarkStart w:id="113" w:name="_Toc7511"/>
      <w:bookmarkStart w:id="114" w:name="_Toc28158"/>
      <w:bookmarkStart w:id="115" w:name="_Ref2446"/>
      <w:bookmarkStart w:id="116" w:name="_Toc17355"/>
      <w:bookmarkStart w:id="117" w:name="_Toc7752390"/>
      <w:bookmarkStart w:id="118" w:name="_Toc20774563"/>
      <w:r>
        <w:rPr>
          <w:szCs w:val="22"/>
          <w:lang w:val="en-US" w:eastAsia="zh-CN"/>
        </w:rPr>
        <w:t>The</w:t>
      </w:r>
      <w:r>
        <w:rPr>
          <w:rFonts w:hint="eastAsia"/>
          <w:szCs w:val="22"/>
          <w:lang w:val="en-US" w:eastAsia="zh-CN"/>
        </w:rPr>
        <w:t xml:space="preserve"> PSCCH resource unit has fixed size, across </w:t>
      </w:r>
      <w:bookmarkEnd w:id="111"/>
      <w:bookmarkEnd w:id="112"/>
      <w:bookmarkEnd w:id="113"/>
      <w:bookmarkEnd w:id="114"/>
      <w:bookmarkEnd w:id="115"/>
      <w:bookmarkEnd w:id="116"/>
      <w:bookmarkEnd w:id="117"/>
      <w:r>
        <w:rPr>
          <w:rFonts w:hint="eastAsia"/>
          <w:szCs w:val="22"/>
          <w:lang w:val="en-US" w:eastAsia="zh-CN"/>
        </w:rPr>
        <w:t>5 symbols and 10 RBs.</w:t>
      </w:r>
      <w:bookmarkEnd w:id="118"/>
    </w:p>
    <w:p w:rsidR="00096470" w:rsidRDefault="00562CE6">
      <w:pPr>
        <w:pStyle w:val="Heading2"/>
        <w:spacing w:before="120" w:after="120"/>
        <w:ind w:left="991" w:right="210" w:hangingChars="354" w:hanging="991"/>
        <w:rPr>
          <w:szCs w:val="22"/>
        </w:rPr>
      </w:pPr>
      <w:r>
        <w:rPr>
          <w:rFonts w:hint="eastAsia"/>
          <w:szCs w:val="22"/>
        </w:rPr>
        <w:t>AGC issue</w:t>
      </w:r>
    </w:p>
    <w:p w:rsidR="00096470" w:rsidRDefault="00562CE6">
      <w:pPr>
        <w:spacing w:before="120" w:after="120"/>
        <w:rPr>
          <w:sz w:val="20"/>
        </w:rPr>
      </w:pPr>
      <w:r>
        <w:rPr>
          <w:rFonts w:hint="eastAsia"/>
          <w:sz w:val="20"/>
        </w:rPr>
        <w:t xml:space="preserve">In time domain, AGC issue should be considered when determining PSCCH resource starting symbol in a slot. According to the latest reply from RAN 4 in </w:t>
      </w:r>
      <w:r w:rsidR="00985DD6">
        <w:rPr>
          <w:rFonts w:hint="eastAsia"/>
          <w:sz w:val="20"/>
        </w:rPr>
        <w:fldChar w:fldCharType="begin"/>
      </w:r>
      <w:r>
        <w:rPr>
          <w:rFonts w:hint="eastAsia"/>
          <w:sz w:val="20"/>
        </w:rPr>
        <w:instrText xml:space="preserve"> REF _Ref6332 \n \h </w:instrText>
      </w:r>
      <w:r w:rsidR="00985DD6">
        <w:rPr>
          <w:rFonts w:hint="eastAsia"/>
          <w:sz w:val="20"/>
        </w:rPr>
      </w:r>
      <w:r w:rsidR="00985DD6">
        <w:rPr>
          <w:rFonts w:hint="eastAsia"/>
          <w:sz w:val="20"/>
        </w:rPr>
        <w:fldChar w:fldCharType="separate"/>
      </w:r>
      <w:r w:rsidR="003D7824">
        <w:rPr>
          <w:sz w:val="20"/>
        </w:rPr>
        <w:t>[2]</w:t>
      </w:r>
      <w:r w:rsidR="00985DD6">
        <w:rPr>
          <w:rFonts w:hint="eastAsia"/>
          <w:sz w:val="20"/>
        </w:rPr>
        <w:fldChar w:fldCharType="end"/>
      </w:r>
      <w:r>
        <w:rPr>
          <w:rFonts w:hint="eastAsia"/>
          <w:sz w:val="20"/>
        </w:rPr>
        <w:t>, f</w:t>
      </w:r>
      <w:r>
        <w:rPr>
          <w:rFonts w:hint="eastAsia"/>
          <w:sz w:val="20"/>
          <w:lang w:val="en-GB"/>
        </w:rPr>
        <w:t>or single CC using CP-OFDM waveform</w:t>
      </w:r>
      <w:r>
        <w:rPr>
          <w:rFonts w:hint="eastAsia"/>
          <w:sz w:val="20"/>
        </w:rPr>
        <w:t>, the AGC timing is determined a</w:t>
      </w:r>
      <w:r>
        <w:rPr>
          <w:sz w:val="20"/>
        </w:rPr>
        <w:t>s:</w:t>
      </w:r>
    </w:p>
    <w:p w:rsidR="00096470" w:rsidRDefault="00562CE6">
      <w:pPr>
        <w:pStyle w:val="YJ-0"/>
        <w:spacing w:before="120" w:after="120"/>
        <w:rPr>
          <w:rFonts w:cs="Times New Roman"/>
          <w:i/>
          <w:iCs/>
          <w:sz w:val="20"/>
          <w:lang w:val="en-GB"/>
        </w:rPr>
      </w:pPr>
      <w:r>
        <w:rPr>
          <w:rFonts w:cs="Times New Roman"/>
          <w:i/>
          <w:iCs/>
          <w:sz w:val="20"/>
        </w:rPr>
        <w:sym w:font="Symbol" w:char="F0A3"/>
      </w:r>
      <w:r>
        <w:rPr>
          <w:rFonts w:cs="Times New Roman"/>
          <w:i/>
          <w:iCs/>
          <w:sz w:val="20"/>
        </w:rPr>
        <w:t xml:space="preserve"> </w:t>
      </w:r>
      <w:r>
        <w:rPr>
          <w:rFonts w:cs="Times New Roman"/>
          <w:i/>
          <w:iCs/>
          <w:sz w:val="20"/>
          <w:lang w:val="en-GB"/>
        </w:rPr>
        <w:t>35 usec for 15 kHz SCS</w:t>
      </w:r>
    </w:p>
    <w:p w:rsidR="00096470" w:rsidRDefault="00562CE6">
      <w:pPr>
        <w:pStyle w:val="YJ-0"/>
        <w:spacing w:before="120" w:after="120"/>
        <w:rPr>
          <w:rFonts w:cs="Times New Roman"/>
          <w:i/>
          <w:iCs/>
          <w:sz w:val="20"/>
          <w:lang w:val="en-GB"/>
        </w:rPr>
      </w:pPr>
      <w:r>
        <w:rPr>
          <w:rFonts w:cs="Times New Roman"/>
          <w:i/>
          <w:iCs/>
          <w:sz w:val="20"/>
        </w:rPr>
        <w:sym w:font="Symbol" w:char="F0A3"/>
      </w:r>
      <w:r>
        <w:rPr>
          <w:rFonts w:cs="Times New Roman"/>
          <w:i/>
          <w:iCs/>
          <w:sz w:val="20"/>
        </w:rPr>
        <w:t xml:space="preserve"> </w:t>
      </w:r>
      <w:r>
        <w:rPr>
          <w:rFonts w:cs="Times New Roman"/>
          <w:i/>
          <w:iCs/>
          <w:sz w:val="20"/>
          <w:lang w:val="en-GB"/>
        </w:rPr>
        <w:t>35 usec for 30 kHz SCS</w:t>
      </w:r>
    </w:p>
    <w:p w:rsidR="00096470" w:rsidRDefault="00562CE6">
      <w:pPr>
        <w:pStyle w:val="YJ-0"/>
        <w:spacing w:before="120" w:after="120"/>
        <w:rPr>
          <w:rFonts w:cs="Times New Roman"/>
          <w:i/>
          <w:iCs/>
          <w:sz w:val="20"/>
          <w:lang w:val="en-GB"/>
        </w:rPr>
      </w:pPr>
      <w:r>
        <w:rPr>
          <w:rFonts w:cs="Times New Roman"/>
          <w:i/>
          <w:iCs/>
          <w:sz w:val="20"/>
        </w:rPr>
        <w:sym w:font="Symbol" w:char="F0A3"/>
      </w:r>
      <w:r>
        <w:rPr>
          <w:rFonts w:cs="Times New Roman"/>
          <w:i/>
          <w:iCs/>
          <w:sz w:val="20"/>
        </w:rPr>
        <w:t xml:space="preserve"> </w:t>
      </w:r>
      <w:r>
        <w:rPr>
          <w:rFonts w:cs="Times New Roman"/>
          <w:i/>
          <w:iCs/>
          <w:sz w:val="20"/>
          <w:lang w:val="en-GB"/>
        </w:rPr>
        <w:t>18 usec for 60 kHz SCS</w:t>
      </w:r>
    </w:p>
    <w:p w:rsidR="00096470" w:rsidRDefault="00562CE6">
      <w:pPr>
        <w:spacing w:before="120" w:after="120"/>
        <w:rPr>
          <w:sz w:val="20"/>
        </w:rPr>
      </w:pPr>
      <w:r>
        <w:rPr>
          <w:rFonts w:hint="eastAsia"/>
          <w:sz w:val="20"/>
        </w:rPr>
        <w:t xml:space="preserve">It means that for each SCS, the AGC requires up to one symbol length, i.e. only one symbol may be affected by AGC processing. With the precondition, defining dedicated AGC symbol may introduce unnecessary symbol overhead and extra standard discussion as well.  </w:t>
      </w:r>
    </w:p>
    <w:p w:rsidR="00096470" w:rsidRDefault="00562CE6">
      <w:pPr>
        <w:pStyle w:val="YJ-Observation"/>
        <w:spacing w:before="120" w:after="120"/>
        <w:rPr>
          <w:lang w:val="en-US" w:eastAsia="zh-CN"/>
        </w:rPr>
      </w:pPr>
      <w:bookmarkStart w:id="119" w:name="_Toc5843"/>
      <w:bookmarkStart w:id="120" w:name="_Toc22924"/>
      <w:bookmarkStart w:id="121" w:name="_Toc15687"/>
      <w:bookmarkStart w:id="122" w:name="_Toc25031"/>
      <w:bookmarkStart w:id="123" w:name="_Toc31576"/>
      <w:bookmarkStart w:id="124" w:name="_Toc20368921"/>
      <w:r>
        <w:rPr>
          <w:rFonts w:hint="eastAsia"/>
          <w:lang w:val="en-US" w:eastAsia="zh-CN"/>
        </w:rPr>
        <w:t xml:space="preserve">For each SCS, the AGC </w:t>
      </w:r>
      <w:r>
        <w:rPr>
          <w:lang w:val="en-US" w:eastAsia="zh-CN"/>
        </w:rPr>
        <w:t>procedure consumes</w:t>
      </w:r>
      <w:r>
        <w:rPr>
          <w:rFonts w:hint="eastAsia"/>
          <w:lang w:val="en-US" w:eastAsia="zh-CN"/>
        </w:rPr>
        <w:t xml:space="preserve"> </w:t>
      </w:r>
      <w:r w:rsidRPr="007B41BE">
        <w:rPr>
          <w:rFonts w:hint="eastAsia"/>
          <w:lang w:val="en-US" w:eastAsia="zh-CN"/>
        </w:rPr>
        <w:t>up to</w:t>
      </w:r>
      <w:r>
        <w:rPr>
          <w:rFonts w:hint="eastAsia"/>
          <w:lang w:val="en-US" w:eastAsia="zh-CN"/>
        </w:rPr>
        <w:t xml:space="preserve"> one symbol.</w:t>
      </w:r>
      <w:bookmarkEnd w:id="119"/>
      <w:bookmarkEnd w:id="120"/>
      <w:bookmarkEnd w:id="121"/>
      <w:bookmarkEnd w:id="122"/>
      <w:bookmarkEnd w:id="123"/>
      <w:bookmarkEnd w:id="124"/>
    </w:p>
    <w:p w:rsidR="00096470" w:rsidRDefault="00562CE6">
      <w:pPr>
        <w:spacing w:before="120" w:after="120"/>
        <w:rPr>
          <w:sz w:val="20"/>
        </w:rPr>
      </w:pPr>
      <w:r>
        <w:rPr>
          <w:rFonts w:hint="eastAsia"/>
          <w:sz w:val="20"/>
        </w:rPr>
        <w:t>There are two cases to handle the AGC process for PSCCH:</w:t>
      </w:r>
    </w:p>
    <w:p w:rsidR="00096470" w:rsidRDefault="00562CE6">
      <w:pPr>
        <w:pStyle w:val="ListParagraph"/>
        <w:numPr>
          <w:ilvl w:val="0"/>
          <w:numId w:val="12"/>
        </w:numPr>
        <w:spacing w:before="120" w:after="120"/>
        <w:rPr>
          <w:sz w:val="20"/>
          <w:szCs w:val="20"/>
        </w:rPr>
      </w:pPr>
      <w:r>
        <w:rPr>
          <w:rFonts w:eastAsia="SimSun" w:hint="eastAsia"/>
          <w:sz w:val="20"/>
          <w:szCs w:val="20"/>
        </w:rPr>
        <w:t>Case 1</w:t>
      </w:r>
      <w:r>
        <w:rPr>
          <w:rFonts w:hint="eastAsia"/>
          <w:sz w:val="20"/>
          <w:szCs w:val="20"/>
        </w:rPr>
        <w:t xml:space="preserve">: </w:t>
      </w:r>
      <w:r>
        <w:rPr>
          <w:rFonts w:eastAsia="SimSun" w:hint="eastAsia"/>
          <w:sz w:val="20"/>
          <w:szCs w:val="20"/>
        </w:rPr>
        <w:t>implicit AGC;</w:t>
      </w:r>
    </w:p>
    <w:p w:rsidR="00096470" w:rsidRDefault="00562CE6">
      <w:pPr>
        <w:pStyle w:val="ListParagraph"/>
        <w:numPr>
          <w:ilvl w:val="0"/>
          <w:numId w:val="12"/>
        </w:numPr>
        <w:spacing w:before="120" w:after="120"/>
        <w:rPr>
          <w:sz w:val="20"/>
          <w:szCs w:val="20"/>
        </w:rPr>
      </w:pPr>
      <w:r>
        <w:rPr>
          <w:rFonts w:eastAsia="SimSun" w:hint="eastAsia"/>
          <w:sz w:val="20"/>
          <w:szCs w:val="20"/>
        </w:rPr>
        <w:t>Case 2: explicit AGC symbol;</w:t>
      </w:r>
    </w:p>
    <w:p w:rsidR="00096470" w:rsidRDefault="00562CE6">
      <w:pPr>
        <w:spacing w:before="120" w:after="120"/>
        <w:rPr>
          <w:sz w:val="20"/>
        </w:rPr>
      </w:pPr>
      <w:r>
        <w:rPr>
          <w:rFonts w:hint="eastAsia"/>
          <w:sz w:val="20"/>
        </w:rPr>
        <w:t xml:space="preserve">Case 1 means SCI information is mapping on the first symbol within the PSCCH resource unit while case 2 has the same channel unit as case 1 but the first symbol cannot be used and rate matching is applied in case 2, as illustrated in </w:t>
      </w:r>
      <w:r w:rsidR="00985DD6">
        <w:rPr>
          <w:rFonts w:hint="eastAsia"/>
          <w:sz w:val="20"/>
        </w:rPr>
        <w:fldChar w:fldCharType="begin"/>
      </w:r>
      <w:r>
        <w:rPr>
          <w:rFonts w:hint="eastAsia"/>
          <w:sz w:val="20"/>
        </w:rPr>
        <w:instrText xml:space="preserve"> REF _Ref26794 \h </w:instrText>
      </w:r>
      <w:r w:rsidR="00985DD6">
        <w:rPr>
          <w:rFonts w:hint="eastAsia"/>
          <w:sz w:val="20"/>
        </w:rPr>
      </w:r>
      <w:r w:rsidR="00985DD6">
        <w:rPr>
          <w:rFonts w:hint="eastAsia"/>
          <w:sz w:val="20"/>
        </w:rPr>
        <w:fldChar w:fldCharType="separate"/>
      </w:r>
      <w:r w:rsidR="003D7824">
        <w:rPr>
          <w:b/>
          <w:bCs/>
          <w:sz w:val="20"/>
        </w:rPr>
        <w:t xml:space="preserve">Figure </w:t>
      </w:r>
      <w:r w:rsidR="003D7824">
        <w:rPr>
          <w:b/>
          <w:bCs/>
          <w:noProof/>
          <w:sz w:val="20"/>
        </w:rPr>
        <w:t>5</w:t>
      </w:r>
      <w:r w:rsidR="00985DD6">
        <w:rPr>
          <w:rFonts w:hint="eastAsia"/>
          <w:sz w:val="20"/>
        </w:rPr>
        <w:fldChar w:fldCharType="end"/>
      </w:r>
      <w:r>
        <w:rPr>
          <w:rFonts w:hint="eastAsia"/>
          <w:sz w:val="20"/>
        </w:rPr>
        <w:t xml:space="preserve">. </w:t>
      </w:r>
      <w:r>
        <w:rPr>
          <w:sz w:val="20"/>
        </w:rPr>
        <w:t xml:space="preserve">The receiver in the case 1 assumes puncturing on the AGC symbol for the PSCCH reception. </w:t>
      </w:r>
    </w:p>
    <w:p w:rsidR="00096470" w:rsidRDefault="00562CE6">
      <w:pPr>
        <w:spacing w:before="120" w:after="120"/>
        <w:jc w:val="center"/>
        <w:rPr>
          <w:sz w:val="20"/>
        </w:rPr>
      </w:pPr>
      <w:r>
        <w:rPr>
          <w:rFonts w:hint="eastAsia"/>
          <w:noProof/>
          <w:sz w:val="20"/>
        </w:rPr>
        <w:drawing>
          <wp:inline distT="0" distB="0" distL="114300" distR="114300">
            <wp:extent cx="2472055" cy="1716405"/>
            <wp:effectExtent l="0" t="0" r="0" b="17145"/>
            <wp:docPr id="10" name="图片 10" descr="PSCCH Vs AG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PSCCH Vs AGC"/>
                    <pic:cNvPicPr>
                      <a:picLocks noChangeAspect="1"/>
                    </pic:cNvPicPr>
                  </pic:nvPicPr>
                  <pic:blipFill>
                    <a:blip r:embed="rId12" cstate="print"/>
                    <a:stretch>
                      <a:fillRect/>
                    </a:stretch>
                  </pic:blipFill>
                  <pic:spPr>
                    <a:xfrm>
                      <a:off x="0" y="0"/>
                      <a:ext cx="2472055" cy="1716405"/>
                    </a:xfrm>
                    <a:prstGeom prst="rect">
                      <a:avLst/>
                    </a:prstGeom>
                  </pic:spPr>
                </pic:pic>
              </a:graphicData>
            </a:graphic>
          </wp:inline>
        </w:drawing>
      </w:r>
    </w:p>
    <w:p w:rsidR="00096470" w:rsidRDefault="00562CE6">
      <w:pPr>
        <w:pStyle w:val="Caption"/>
        <w:jc w:val="center"/>
        <w:rPr>
          <w:b w:val="0"/>
          <w:bCs/>
          <w:sz w:val="20"/>
        </w:rPr>
      </w:pPr>
      <w:bookmarkStart w:id="125" w:name="_Ref26794"/>
      <w:r>
        <w:rPr>
          <w:b w:val="0"/>
          <w:bCs/>
          <w:sz w:val="20"/>
        </w:rPr>
        <w:t xml:space="preserve">Figure </w:t>
      </w:r>
      <w:r w:rsidR="00985DD6">
        <w:rPr>
          <w:b w:val="0"/>
          <w:bCs/>
          <w:sz w:val="20"/>
        </w:rPr>
        <w:fldChar w:fldCharType="begin"/>
      </w:r>
      <w:r>
        <w:rPr>
          <w:b w:val="0"/>
          <w:bCs/>
          <w:sz w:val="20"/>
        </w:rPr>
        <w:instrText xml:space="preserve"> SEQ Figure \* ARABIC </w:instrText>
      </w:r>
      <w:r w:rsidR="00985DD6">
        <w:rPr>
          <w:b w:val="0"/>
          <w:bCs/>
          <w:sz w:val="20"/>
        </w:rPr>
        <w:fldChar w:fldCharType="separate"/>
      </w:r>
      <w:r w:rsidR="003D7824">
        <w:rPr>
          <w:b w:val="0"/>
          <w:bCs/>
          <w:noProof/>
          <w:sz w:val="20"/>
        </w:rPr>
        <w:t>5</w:t>
      </w:r>
      <w:r w:rsidR="00985DD6">
        <w:rPr>
          <w:b w:val="0"/>
          <w:bCs/>
          <w:sz w:val="20"/>
        </w:rPr>
        <w:fldChar w:fldCharType="end"/>
      </w:r>
      <w:bookmarkEnd w:id="125"/>
      <w:r>
        <w:rPr>
          <w:rFonts w:hint="eastAsia"/>
          <w:b w:val="0"/>
          <w:bCs/>
          <w:sz w:val="20"/>
        </w:rPr>
        <w:t xml:space="preserve"> Implicit Vs explicit AGC in PSCCH</w:t>
      </w:r>
    </w:p>
    <w:p w:rsidR="00096470" w:rsidRDefault="00562CE6">
      <w:pPr>
        <w:spacing w:before="120" w:after="120"/>
        <w:rPr>
          <w:sz w:val="20"/>
        </w:rPr>
      </w:pPr>
      <w:r>
        <w:rPr>
          <w:rFonts w:hint="eastAsia"/>
          <w:sz w:val="20"/>
        </w:rPr>
        <w:t xml:space="preserve">Although the first symbol in case 1 is impacted by AGC, the actual available number of symbols to carry SCI in case 2 is less than case 1 which means higher code rate in SCI process. Additionally, sufficient redundancy is provided for SCI carrying in a PSCCH resource for both case 1 and case 2 and it alleviates the impact of AGC issue. Based on that, case 1 should be used for PSCCH and no additional standard discussion is needed. </w:t>
      </w:r>
    </w:p>
    <w:p w:rsidR="00096470" w:rsidRDefault="00562CE6">
      <w:pPr>
        <w:spacing w:before="120" w:after="120"/>
        <w:rPr>
          <w:sz w:val="20"/>
        </w:rPr>
      </w:pPr>
      <w:r>
        <w:rPr>
          <w:rFonts w:hint="eastAsia"/>
          <w:sz w:val="20"/>
        </w:rPr>
        <w:t xml:space="preserve">Therefore, no explicit AGC symbol should be reserved on sidelink and it could be implicitly involved in sidelink channel resources. The fixed PSCCH resource unit </w:t>
      </w:r>
      <w:r>
        <w:rPr>
          <w:sz w:val="20"/>
        </w:rPr>
        <w:t>in earlier proposal</w:t>
      </w:r>
      <w:r>
        <w:rPr>
          <w:rFonts w:hint="eastAsia"/>
          <w:sz w:val="20"/>
        </w:rPr>
        <w:t xml:space="preserve"> has considered the AGC issue.</w:t>
      </w:r>
    </w:p>
    <w:p w:rsidR="00096470" w:rsidRDefault="00562CE6">
      <w:pPr>
        <w:pStyle w:val="YJ-Proposal"/>
        <w:spacing w:before="120" w:after="120"/>
        <w:rPr>
          <w:szCs w:val="22"/>
          <w:lang w:val="en-US" w:eastAsia="zh-CN"/>
        </w:rPr>
      </w:pPr>
      <w:bookmarkStart w:id="126" w:name="_Toc24443"/>
      <w:bookmarkStart w:id="127" w:name="_Toc10186"/>
      <w:bookmarkStart w:id="128" w:name="_Toc7508"/>
      <w:bookmarkStart w:id="129" w:name="_Toc3806"/>
      <w:bookmarkStart w:id="130" w:name="_Toc31740"/>
      <w:bookmarkStart w:id="131" w:name="_Toc20774564"/>
      <w:r>
        <w:rPr>
          <w:rFonts w:hint="eastAsia"/>
          <w:szCs w:val="22"/>
          <w:lang w:val="en-US" w:eastAsia="zh-CN"/>
        </w:rPr>
        <w:t xml:space="preserve">No explicit AGC symbol is </w:t>
      </w:r>
      <w:r>
        <w:rPr>
          <w:szCs w:val="22"/>
          <w:lang w:val="en-US" w:eastAsia="zh-CN"/>
        </w:rPr>
        <w:t>defined</w:t>
      </w:r>
      <w:r>
        <w:rPr>
          <w:rFonts w:hint="eastAsia"/>
          <w:szCs w:val="22"/>
          <w:lang w:val="en-US" w:eastAsia="zh-CN"/>
        </w:rPr>
        <w:t>.</w:t>
      </w:r>
      <w:bookmarkEnd w:id="126"/>
      <w:bookmarkEnd w:id="127"/>
      <w:bookmarkEnd w:id="128"/>
      <w:bookmarkEnd w:id="129"/>
      <w:bookmarkEnd w:id="130"/>
      <w:bookmarkEnd w:id="131"/>
      <w:r>
        <w:rPr>
          <w:rFonts w:hint="eastAsia"/>
          <w:szCs w:val="22"/>
          <w:lang w:val="en-US" w:eastAsia="zh-CN"/>
        </w:rPr>
        <w:t xml:space="preserve"> </w:t>
      </w:r>
    </w:p>
    <w:p w:rsidR="00096470" w:rsidRDefault="00562CE6">
      <w:pPr>
        <w:spacing w:before="120" w:after="120"/>
        <w:rPr>
          <w:sz w:val="20"/>
        </w:rPr>
      </w:pPr>
      <w:r>
        <w:rPr>
          <w:rFonts w:hint="eastAsia"/>
          <w:sz w:val="20"/>
        </w:rPr>
        <w:lastRenderedPageBreak/>
        <w:t xml:space="preserve">With a known PSCCH channel unit format and the AGC implicitly contained in PSCCH resource, the starting symbol of PSCCH resource should be located from the first available symbol in resource pool, as shown in </w:t>
      </w:r>
      <w:r w:rsidR="00985DD6">
        <w:rPr>
          <w:rFonts w:hint="eastAsia"/>
          <w:sz w:val="20"/>
        </w:rPr>
        <w:fldChar w:fldCharType="begin"/>
      </w:r>
      <w:r>
        <w:rPr>
          <w:rFonts w:hint="eastAsia"/>
          <w:sz w:val="20"/>
        </w:rPr>
        <w:instrText xml:space="preserve"> REF _Ref30164 \h </w:instrText>
      </w:r>
      <w:r w:rsidR="00985DD6">
        <w:rPr>
          <w:rFonts w:hint="eastAsia"/>
          <w:sz w:val="20"/>
        </w:rPr>
      </w:r>
      <w:r w:rsidR="00985DD6">
        <w:rPr>
          <w:rFonts w:hint="eastAsia"/>
          <w:sz w:val="20"/>
        </w:rPr>
        <w:fldChar w:fldCharType="separate"/>
      </w:r>
      <w:r w:rsidR="003D7824">
        <w:rPr>
          <w:b/>
          <w:bCs/>
          <w:sz w:val="20"/>
        </w:rPr>
        <w:t xml:space="preserve">Figure </w:t>
      </w:r>
      <w:r w:rsidR="003D7824">
        <w:rPr>
          <w:b/>
          <w:bCs/>
          <w:noProof/>
          <w:sz w:val="20"/>
        </w:rPr>
        <w:t>6</w:t>
      </w:r>
      <w:r w:rsidR="00985DD6">
        <w:rPr>
          <w:rFonts w:hint="eastAsia"/>
          <w:sz w:val="20"/>
        </w:rPr>
        <w:fldChar w:fldCharType="end"/>
      </w:r>
      <w:r>
        <w:rPr>
          <w:rFonts w:hint="eastAsia"/>
          <w:sz w:val="20"/>
        </w:rPr>
        <w:t>.</w:t>
      </w:r>
    </w:p>
    <w:p w:rsidR="00096470" w:rsidRDefault="00562CE6">
      <w:pPr>
        <w:pStyle w:val="YJ-Proposal"/>
        <w:spacing w:before="120" w:after="120"/>
        <w:rPr>
          <w:szCs w:val="22"/>
          <w:lang w:val="en-US" w:eastAsia="zh-CN"/>
        </w:rPr>
      </w:pPr>
      <w:bookmarkStart w:id="132" w:name="_Toc16625"/>
      <w:bookmarkStart w:id="133" w:name="_Toc2405"/>
      <w:bookmarkStart w:id="134" w:name="_Toc29101"/>
      <w:bookmarkStart w:id="135" w:name="_Toc28942"/>
      <w:bookmarkStart w:id="136" w:name="_Toc21177"/>
      <w:bookmarkStart w:id="137" w:name="_Toc20774565"/>
      <w:r>
        <w:rPr>
          <w:rFonts w:hint="eastAsia"/>
          <w:szCs w:val="22"/>
          <w:lang w:val="en-US" w:eastAsia="zh-CN"/>
        </w:rPr>
        <w:t>In time domain, a PSCCH resource starts from the first sidelink symbol within a slot.</w:t>
      </w:r>
      <w:bookmarkEnd w:id="132"/>
      <w:bookmarkEnd w:id="133"/>
      <w:bookmarkEnd w:id="134"/>
      <w:bookmarkEnd w:id="135"/>
      <w:bookmarkEnd w:id="136"/>
      <w:bookmarkEnd w:id="137"/>
      <w:r>
        <w:rPr>
          <w:rFonts w:hint="eastAsia"/>
          <w:szCs w:val="22"/>
          <w:lang w:val="en-US" w:eastAsia="zh-CN"/>
        </w:rPr>
        <w:t xml:space="preserve"> </w:t>
      </w:r>
    </w:p>
    <w:p w:rsidR="00096470" w:rsidRDefault="00562CE6">
      <w:pPr>
        <w:spacing w:before="120" w:after="120"/>
        <w:jc w:val="center"/>
        <w:rPr>
          <w:szCs w:val="22"/>
        </w:rPr>
      </w:pPr>
      <w:bookmarkStart w:id="138" w:name="_Toc29128"/>
      <w:r>
        <w:rPr>
          <w:rFonts w:hint="eastAsia"/>
          <w:noProof/>
          <w:szCs w:val="22"/>
        </w:rPr>
        <w:drawing>
          <wp:inline distT="0" distB="0" distL="114300" distR="114300">
            <wp:extent cx="3432810" cy="1827530"/>
            <wp:effectExtent l="0" t="0" r="15240" b="1270"/>
            <wp:docPr id="2" name="图片 2" descr="option 3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option 3 "/>
                    <pic:cNvPicPr>
                      <a:picLocks noChangeAspect="1"/>
                    </pic:cNvPicPr>
                  </pic:nvPicPr>
                  <pic:blipFill>
                    <a:blip r:embed="rId13" cstate="print"/>
                    <a:stretch>
                      <a:fillRect/>
                    </a:stretch>
                  </pic:blipFill>
                  <pic:spPr>
                    <a:xfrm>
                      <a:off x="0" y="0"/>
                      <a:ext cx="3432810" cy="1827530"/>
                    </a:xfrm>
                    <a:prstGeom prst="rect">
                      <a:avLst/>
                    </a:prstGeom>
                  </pic:spPr>
                </pic:pic>
              </a:graphicData>
            </a:graphic>
          </wp:inline>
        </w:drawing>
      </w:r>
      <w:bookmarkEnd w:id="138"/>
    </w:p>
    <w:p w:rsidR="00096470" w:rsidRDefault="00562CE6">
      <w:pPr>
        <w:pStyle w:val="Caption"/>
        <w:tabs>
          <w:tab w:val="left" w:pos="0"/>
        </w:tabs>
        <w:jc w:val="center"/>
        <w:rPr>
          <w:b w:val="0"/>
          <w:bCs/>
          <w:sz w:val="20"/>
        </w:rPr>
      </w:pPr>
      <w:bookmarkStart w:id="139" w:name="_Ref30164"/>
      <w:r>
        <w:rPr>
          <w:b w:val="0"/>
          <w:bCs/>
          <w:sz w:val="20"/>
        </w:rPr>
        <w:t xml:space="preserve">Figure </w:t>
      </w:r>
      <w:r w:rsidR="00985DD6">
        <w:rPr>
          <w:b w:val="0"/>
          <w:bCs/>
          <w:sz w:val="20"/>
        </w:rPr>
        <w:fldChar w:fldCharType="begin"/>
      </w:r>
      <w:r>
        <w:rPr>
          <w:b w:val="0"/>
          <w:bCs/>
          <w:sz w:val="20"/>
        </w:rPr>
        <w:instrText xml:space="preserve"> SEQ Figure \* ARABIC </w:instrText>
      </w:r>
      <w:r w:rsidR="00985DD6">
        <w:rPr>
          <w:b w:val="0"/>
          <w:bCs/>
          <w:sz w:val="20"/>
        </w:rPr>
        <w:fldChar w:fldCharType="separate"/>
      </w:r>
      <w:r w:rsidR="003D7824">
        <w:rPr>
          <w:b w:val="0"/>
          <w:bCs/>
          <w:noProof/>
          <w:sz w:val="20"/>
        </w:rPr>
        <w:t>6</w:t>
      </w:r>
      <w:r w:rsidR="00985DD6">
        <w:rPr>
          <w:b w:val="0"/>
          <w:bCs/>
          <w:sz w:val="20"/>
        </w:rPr>
        <w:fldChar w:fldCharType="end"/>
      </w:r>
      <w:bookmarkEnd w:id="139"/>
      <w:r>
        <w:rPr>
          <w:rFonts w:hint="eastAsia"/>
          <w:b w:val="0"/>
          <w:bCs/>
          <w:sz w:val="20"/>
        </w:rPr>
        <w:t xml:space="preserve"> PSCCH resources location within a slot</w:t>
      </w:r>
    </w:p>
    <w:p w:rsidR="00096470" w:rsidRDefault="00562CE6">
      <w:pPr>
        <w:spacing w:before="120" w:after="120"/>
        <w:rPr>
          <w:sz w:val="20"/>
        </w:rPr>
      </w:pPr>
      <w:r>
        <w:rPr>
          <w:rFonts w:hint="eastAsia"/>
          <w:sz w:val="20"/>
        </w:rPr>
        <w:t>In frequency domain, as sub-channel based PSSCH resource scheme is used and each sub-channel may be used as a PSSCH resource, it is nature to locate a PSCCH resource for every sub-channel.</w:t>
      </w:r>
    </w:p>
    <w:p w:rsidR="00096470" w:rsidRDefault="00562CE6">
      <w:pPr>
        <w:spacing w:before="120" w:after="120"/>
        <w:rPr>
          <w:sz w:val="20"/>
        </w:rPr>
      </w:pPr>
      <w:r>
        <w:rPr>
          <w:rFonts w:hint="eastAsia"/>
          <w:sz w:val="20"/>
        </w:rPr>
        <w:t xml:space="preserve">Similar to LTE sidelink, we propose to locate a PSCCH resource starting RB on the lowest RB within a sub-channel. It means a PSCCH resource and relevant PSSCH resource have the same starting RB which benefits the frequency resource indication of PSSCH in SCI, i.e. only the number of sub-channels used for PSSCH needs to be indicated.  </w:t>
      </w:r>
    </w:p>
    <w:p w:rsidR="00096470" w:rsidRDefault="00562CE6">
      <w:pPr>
        <w:pStyle w:val="YJ-Proposal"/>
        <w:spacing w:before="120" w:after="120"/>
        <w:rPr>
          <w:szCs w:val="22"/>
          <w:lang w:val="en-US" w:eastAsia="zh-CN"/>
        </w:rPr>
      </w:pPr>
      <w:bookmarkStart w:id="140" w:name="_Toc7752392"/>
      <w:bookmarkStart w:id="141" w:name="_Toc10281"/>
      <w:bookmarkStart w:id="142" w:name="_Toc29399"/>
      <w:bookmarkStart w:id="143" w:name="_Toc23328"/>
      <w:bookmarkStart w:id="144" w:name="_Toc26671"/>
      <w:bookmarkStart w:id="145" w:name="_Toc4450"/>
      <w:bookmarkStart w:id="146" w:name="_Toc20774566"/>
      <w:r>
        <w:rPr>
          <w:rFonts w:eastAsia="SimSun" w:hint="eastAsia"/>
          <w:szCs w:val="22"/>
          <w:lang w:val="en-US" w:eastAsia="zh-CN"/>
        </w:rPr>
        <w:t xml:space="preserve">In frequency </w:t>
      </w:r>
      <w:r>
        <w:rPr>
          <w:rFonts w:hint="eastAsia"/>
          <w:szCs w:val="22"/>
          <w:lang w:val="en-US" w:eastAsia="zh-CN"/>
        </w:rPr>
        <w:t>domain</w:t>
      </w:r>
      <w:r>
        <w:rPr>
          <w:rFonts w:eastAsia="SimSun" w:hint="eastAsia"/>
          <w:szCs w:val="22"/>
          <w:lang w:val="en-US" w:eastAsia="zh-CN"/>
        </w:rPr>
        <w:t>, a PSCCH resource starts from the lowest RB within a sub-channel.</w:t>
      </w:r>
      <w:bookmarkEnd w:id="140"/>
      <w:bookmarkEnd w:id="141"/>
      <w:bookmarkEnd w:id="142"/>
      <w:bookmarkEnd w:id="143"/>
      <w:bookmarkEnd w:id="144"/>
      <w:bookmarkEnd w:id="145"/>
      <w:bookmarkEnd w:id="146"/>
      <w:r>
        <w:rPr>
          <w:rFonts w:eastAsia="SimSun" w:hint="eastAsia"/>
          <w:szCs w:val="22"/>
          <w:lang w:val="en-US" w:eastAsia="zh-CN"/>
        </w:rPr>
        <w:t xml:space="preserve"> </w:t>
      </w:r>
    </w:p>
    <w:p w:rsidR="00096470" w:rsidRDefault="00562CE6">
      <w:pPr>
        <w:pStyle w:val="Heading1"/>
        <w:pBdr>
          <w:top w:val="none" w:sz="0" w:space="1" w:color="auto"/>
          <w:left w:val="none" w:sz="0" w:space="4" w:color="auto"/>
          <w:bottom w:val="none" w:sz="0" w:space="1" w:color="auto"/>
          <w:right w:val="none" w:sz="0" w:space="4" w:color="auto"/>
        </w:pBdr>
        <w:spacing w:before="120" w:after="120"/>
        <w:ind w:left="0"/>
        <w:rPr>
          <w:szCs w:val="22"/>
        </w:rPr>
      </w:pPr>
      <w:r>
        <w:rPr>
          <w:rFonts w:hint="eastAsia"/>
          <w:szCs w:val="22"/>
        </w:rPr>
        <w:t xml:space="preserve">PSSCH </w:t>
      </w:r>
    </w:p>
    <w:p w:rsidR="00096470" w:rsidRDefault="00562CE6">
      <w:pPr>
        <w:pStyle w:val="Heading2"/>
        <w:spacing w:before="120" w:after="120"/>
        <w:ind w:left="991" w:right="210" w:hangingChars="354" w:hanging="991"/>
        <w:rPr>
          <w:szCs w:val="22"/>
        </w:rPr>
      </w:pPr>
      <w:r>
        <w:rPr>
          <w:rFonts w:hint="eastAsia"/>
          <w:szCs w:val="22"/>
        </w:rPr>
        <w:t xml:space="preserve">PSSCH resource </w:t>
      </w:r>
    </w:p>
    <w:p w:rsidR="00096470" w:rsidRDefault="00562CE6">
      <w:pPr>
        <w:spacing w:before="120" w:after="120"/>
        <w:rPr>
          <w:bCs/>
          <w:sz w:val="20"/>
        </w:rPr>
      </w:pPr>
      <w:r>
        <w:rPr>
          <w:rFonts w:hint="eastAsia"/>
          <w:bCs/>
          <w:sz w:val="20"/>
        </w:rPr>
        <w:t xml:space="preserve">Similar </w:t>
      </w:r>
      <w:r>
        <w:rPr>
          <w:bCs/>
          <w:sz w:val="20"/>
        </w:rPr>
        <w:t>to</w:t>
      </w:r>
      <w:r>
        <w:rPr>
          <w:rFonts w:hint="eastAsia"/>
          <w:bCs/>
          <w:sz w:val="20"/>
        </w:rPr>
        <w:t xml:space="preserve"> analyses on PSCCH resource location, AGC training time should be included in the symbols for data transmitting and no AGC symbol is defined in legacy PSSCH processing. Therefore no dedicated AGC symbol is needed, i.e.,</w:t>
      </w:r>
      <w:r>
        <w:rPr>
          <w:bCs/>
          <w:sz w:val="20"/>
        </w:rPr>
        <w:t xml:space="preserve"> </w:t>
      </w:r>
      <w:r>
        <w:rPr>
          <w:rFonts w:hint="eastAsia"/>
          <w:bCs/>
          <w:sz w:val="20"/>
        </w:rPr>
        <w:t>PSSCH resources start</w:t>
      </w:r>
      <w:r>
        <w:rPr>
          <w:bCs/>
          <w:sz w:val="20"/>
        </w:rPr>
        <w:t>s</w:t>
      </w:r>
      <w:r>
        <w:rPr>
          <w:rFonts w:hint="eastAsia"/>
          <w:bCs/>
          <w:sz w:val="20"/>
        </w:rPr>
        <w:t xml:space="preserve"> from the first sidelink symbol in a slot.</w:t>
      </w:r>
    </w:p>
    <w:p w:rsidR="00096470" w:rsidRDefault="00562CE6">
      <w:pPr>
        <w:pStyle w:val="YJ-Proposal"/>
        <w:spacing w:before="120" w:after="120"/>
        <w:rPr>
          <w:szCs w:val="22"/>
          <w:lang w:val="en-US" w:eastAsia="zh-CN"/>
        </w:rPr>
      </w:pPr>
      <w:bookmarkStart w:id="147" w:name="_Toc20774567"/>
      <w:r>
        <w:rPr>
          <w:rFonts w:hint="eastAsia"/>
          <w:szCs w:val="22"/>
          <w:lang w:val="en-US" w:eastAsia="zh-CN"/>
        </w:rPr>
        <w:t xml:space="preserve">No explicit AGC symbol </w:t>
      </w:r>
      <w:r>
        <w:rPr>
          <w:szCs w:val="22"/>
          <w:lang w:val="en-US" w:eastAsia="zh-CN"/>
        </w:rPr>
        <w:t>is</w:t>
      </w:r>
      <w:r>
        <w:rPr>
          <w:rFonts w:hint="eastAsia"/>
          <w:szCs w:val="22"/>
          <w:lang w:val="en-US" w:eastAsia="zh-CN"/>
        </w:rPr>
        <w:t xml:space="preserve"> reserved for PSSCH.</w:t>
      </w:r>
      <w:bookmarkEnd w:id="147"/>
      <w:r>
        <w:rPr>
          <w:rFonts w:hint="eastAsia"/>
          <w:szCs w:val="22"/>
          <w:lang w:val="en-US" w:eastAsia="zh-CN"/>
        </w:rPr>
        <w:t xml:space="preserve"> </w:t>
      </w:r>
      <w:bookmarkStart w:id="148" w:name="_Toc7752399"/>
      <w:bookmarkStart w:id="149" w:name="_Toc19057"/>
      <w:bookmarkStart w:id="150" w:name="_Toc18221"/>
      <w:bookmarkStart w:id="151" w:name="_Toc3223"/>
      <w:bookmarkStart w:id="152" w:name="_Toc18823"/>
      <w:bookmarkStart w:id="153" w:name="_Toc10933"/>
    </w:p>
    <w:p w:rsidR="00096470" w:rsidRDefault="00562CE6">
      <w:pPr>
        <w:pStyle w:val="YJ-Proposal"/>
        <w:spacing w:before="120" w:after="120"/>
        <w:rPr>
          <w:szCs w:val="22"/>
          <w:lang w:val="en-US" w:eastAsia="zh-CN"/>
        </w:rPr>
      </w:pPr>
      <w:bookmarkStart w:id="154" w:name="_Toc20774568"/>
      <w:r>
        <w:rPr>
          <w:rFonts w:hint="eastAsia"/>
          <w:szCs w:val="22"/>
          <w:lang w:val="en-US" w:eastAsia="zh-CN"/>
        </w:rPr>
        <w:t>In time domain, a PSSCH resource starts from the first sidelink symbol within a slot.</w:t>
      </w:r>
      <w:bookmarkEnd w:id="148"/>
      <w:bookmarkEnd w:id="149"/>
      <w:bookmarkEnd w:id="150"/>
      <w:bookmarkEnd w:id="151"/>
      <w:bookmarkEnd w:id="152"/>
      <w:bookmarkEnd w:id="153"/>
      <w:bookmarkEnd w:id="154"/>
      <w:r>
        <w:rPr>
          <w:rFonts w:hint="eastAsia"/>
          <w:szCs w:val="22"/>
          <w:lang w:val="en-US" w:eastAsia="zh-CN"/>
        </w:rPr>
        <w:t xml:space="preserve"> </w:t>
      </w:r>
    </w:p>
    <w:p w:rsidR="00096470" w:rsidRDefault="00562CE6">
      <w:pPr>
        <w:spacing w:before="120" w:after="120"/>
        <w:rPr>
          <w:sz w:val="20"/>
        </w:rPr>
      </w:pPr>
      <w:r>
        <w:rPr>
          <w:rFonts w:hint="eastAsia"/>
          <w:sz w:val="20"/>
        </w:rPr>
        <w:t>It is agreed that sub-channel size is (pre-)configured. In legacy sidelink, all the sub-channels in a resource pool have the same number of RBs in frequency domain. When UE requires more resources for a larger data packet, several consecutive sub-channels should be used to carry the data. This scheme provides sufficient flexibility for different sizes of data packets, and it is easy to understand the sub-channel division in a resource pool. The same configuration of sub-channel for a resource pool should be reused for NR sidelink.</w:t>
      </w:r>
    </w:p>
    <w:p w:rsidR="00096470" w:rsidRDefault="00562CE6">
      <w:pPr>
        <w:pStyle w:val="YJ-Proposal"/>
        <w:spacing w:before="120" w:after="120"/>
        <w:rPr>
          <w:szCs w:val="22"/>
          <w:lang w:val="en-US" w:eastAsia="zh-CN"/>
        </w:rPr>
      </w:pPr>
      <w:bookmarkStart w:id="155" w:name="_Toc13801"/>
      <w:bookmarkStart w:id="156" w:name="_Toc31028"/>
      <w:bookmarkStart w:id="157" w:name="_Toc23976"/>
      <w:bookmarkStart w:id="158" w:name="_Toc9148"/>
      <w:bookmarkStart w:id="159" w:name="_Toc18831"/>
      <w:bookmarkStart w:id="160" w:name="_Toc7752388"/>
      <w:bookmarkStart w:id="161" w:name="_Ref2358"/>
      <w:bookmarkStart w:id="162" w:name="_Toc20774569"/>
      <w:r w:rsidRPr="00A52E0D">
        <w:rPr>
          <w:rFonts w:hint="eastAsia"/>
          <w:szCs w:val="22"/>
          <w:lang w:val="en-US" w:eastAsia="zh-CN"/>
        </w:rPr>
        <w:t>A sub-channel size (in terms of number of RBs) is (pre-)configured per resource pool</w:t>
      </w:r>
      <w:r>
        <w:rPr>
          <w:rFonts w:hint="eastAsia"/>
          <w:szCs w:val="22"/>
          <w:lang w:val="en-US" w:eastAsia="zh-CN"/>
        </w:rPr>
        <w:t>.</w:t>
      </w:r>
      <w:bookmarkEnd w:id="155"/>
      <w:bookmarkEnd w:id="156"/>
      <w:bookmarkEnd w:id="157"/>
      <w:bookmarkEnd w:id="158"/>
      <w:bookmarkEnd w:id="159"/>
      <w:bookmarkEnd w:id="162"/>
      <w:r>
        <w:rPr>
          <w:rFonts w:hint="eastAsia"/>
          <w:szCs w:val="22"/>
          <w:lang w:val="en-US" w:eastAsia="zh-CN"/>
        </w:rPr>
        <w:t xml:space="preserve"> </w:t>
      </w:r>
      <w:bookmarkEnd w:id="160"/>
      <w:bookmarkEnd w:id="161"/>
    </w:p>
    <w:p w:rsidR="00096470" w:rsidRDefault="00562CE6">
      <w:pPr>
        <w:pStyle w:val="Heading2"/>
        <w:spacing w:before="120" w:after="120"/>
        <w:ind w:left="991" w:right="210" w:hangingChars="354" w:hanging="991"/>
        <w:rPr>
          <w:szCs w:val="22"/>
        </w:rPr>
      </w:pPr>
      <w:r>
        <w:rPr>
          <w:rFonts w:hint="eastAsia"/>
          <w:szCs w:val="22"/>
        </w:rPr>
        <w:t>DMRS</w:t>
      </w:r>
    </w:p>
    <w:p w:rsidR="00096470" w:rsidRDefault="00562CE6">
      <w:pPr>
        <w:spacing w:before="120" w:after="120"/>
        <w:rPr>
          <w:sz w:val="20"/>
        </w:rPr>
      </w:pPr>
      <w:r>
        <w:rPr>
          <w:rFonts w:hint="eastAsia"/>
          <w:sz w:val="20"/>
        </w:rPr>
        <w:t xml:space="preserve">On NR Uu, different DMRS patterns can be configured by gNB to be adaptive to several factors, including UE speed, latency requirement, MIMO scheme, etc. The full flexible DRMS patterns may not be necessary for sidelink communication, especially for sidelink broadcast. Therefore the NR Uu DMRS patterns should be down selected for the sidelink DMRS.  </w:t>
      </w:r>
    </w:p>
    <w:p w:rsidR="00096470" w:rsidRDefault="00562CE6">
      <w:pPr>
        <w:spacing w:before="120" w:after="120"/>
        <w:rPr>
          <w:sz w:val="20"/>
        </w:rPr>
      </w:pPr>
      <w:r>
        <w:rPr>
          <w:rFonts w:hint="eastAsia"/>
          <w:sz w:val="20"/>
        </w:rPr>
        <w:t xml:space="preserve">Considering that the requirement of transmission modes and number of layer of PSSCH transmission is limited, single-symbol and configuration type 1 DMRS defined in Uu can provide sufficient performance and available number </w:t>
      </w:r>
      <w:r>
        <w:rPr>
          <w:rFonts w:hint="eastAsia"/>
          <w:sz w:val="20"/>
        </w:rPr>
        <w:lastRenderedPageBreak/>
        <w:t>of ports of DMRS for sidelink data transmission. We prefer to use single-symbol and configuration type 1 DMRS for PSSCH and other types of DMRS configuration are not needed to introduce on sidelink.</w:t>
      </w:r>
    </w:p>
    <w:p w:rsidR="00096470" w:rsidRDefault="00562CE6">
      <w:pPr>
        <w:pStyle w:val="YJ-Proposal"/>
        <w:spacing w:before="120" w:after="120"/>
        <w:rPr>
          <w:lang w:val="en-US" w:eastAsia="zh-CN"/>
        </w:rPr>
      </w:pPr>
      <w:bookmarkStart w:id="163" w:name="_Toc7752403"/>
      <w:bookmarkStart w:id="164" w:name="_Ref2642"/>
      <w:bookmarkStart w:id="165" w:name="_Toc13453"/>
      <w:bookmarkStart w:id="166" w:name="_Toc4087"/>
      <w:bookmarkStart w:id="167" w:name="_Toc31117"/>
      <w:bookmarkStart w:id="168" w:name="_Toc27443"/>
      <w:bookmarkStart w:id="169" w:name="_Toc7333"/>
      <w:bookmarkStart w:id="170" w:name="_Toc20774570"/>
      <w:r>
        <w:rPr>
          <w:rFonts w:eastAsia="SimSun" w:hint="eastAsia"/>
          <w:szCs w:val="22"/>
          <w:lang w:val="en-US" w:eastAsia="zh-CN"/>
        </w:rPr>
        <w:t>For PSSCH, only single</w:t>
      </w:r>
      <w:r>
        <w:rPr>
          <w:rFonts w:hint="eastAsia"/>
          <w:lang w:val="en-US" w:eastAsia="zh-CN"/>
        </w:rPr>
        <w:t>-symbol DMRS is supported.</w:t>
      </w:r>
      <w:bookmarkEnd w:id="163"/>
      <w:bookmarkEnd w:id="164"/>
      <w:bookmarkEnd w:id="165"/>
      <w:bookmarkEnd w:id="166"/>
      <w:bookmarkEnd w:id="167"/>
      <w:bookmarkEnd w:id="168"/>
      <w:bookmarkEnd w:id="169"/>
      <w:bookmarkEnd w:id="170"/>
    </w:p>
    <w:p w:rsidR="00096470" w:rsidRDefault="00562CE6">
      <w:pPr>
        <w:pStyle w:val="YJ-Proposal"/>
        <w:spacing w:before="120" w:after="120"/>
        <w:rPr>
          <w:lang w:val="en-US" w:eastAsia="zh-CN"/>
        </w:rPr>
      </w:pPr>
      <w:bookmarkStart w:id="171" w:name="_Toc7752404"/>
      <w:bookmarkStart w:id="172" w:name="_Ref2648"/>
      <w:bookmarkStart w:id="173" w:name="_Toc8399"/>
      <w:bookmarkStart w:id="174" w:name="_Toc3502"/>
      <w:bookmarkStart w:id="175" w:name="_Toc24968"/>
      <w:bookmarkStart w:id="176" w:name="_Toc18817"/>
      <w:bookmarkStart w:id="177" w:name="_Toc16964"/>
      <w:bookmarkStart w:id="178" w:name="_Toc20774571"/>
      <w:r>
        <w:rPr>
          <w:rFonts w:eastAsia="SimSun" w:hint="eastAsia"/>
          <w:szCs w:val="22"/>
          <w:lang w:val="en-US" w:eastAsia="zh-CN"/>
        </w:rPr>
        <w:t xml:space="preserve">For PSSCH, only configuration </w:t>
      </w:r>
      <w:r>
        <w:rPr>
          <w:rFonts w:hint="eastAsia"/>
          <w:lang w:val="en-US" w:eastAsia="zh-CN"/>
        </w:rPr>
        <w:t>type 1 DMRS is supported.</w:t>
      </w:r>
      <w:bookmarkEnd w:id="171"/>
      <w:bookmarkEnd w:id="172"/>
      <w:bookmarkEnd w:id="173"/>
      <w:bookmarkEnd w:id="174"/>
      <w:bookmarkEnd w:id="175"/>
      <w:bookmarkEnd w:id="176"/>
      <w:bookmarkEnd w:id="177"/>
      <w:bookmarkEnd w:id="178"/>
    </w:p>
    <w:p w:rsidR="00096470" w:rsidRDefault="00562CE6">
      <w:pPr>
        <w:spacing w:before="120" w:after="120"/>
        <w:rPr>
          <w:sz w:val="20"/>
          <w:szCs w:val="22"/>
        </w:rPr>
      </w:pPr>
      <w:r>
        <w:rPr>
          <w:rFonts w:hint="eastAsia"/>
          <w:sz w:val="20"/>
          <w:szCs w:val="22"/>
        </w:rPr>
        <w:t xml:space="preserve">For NR DMRS schemes, the configuration of front-loaded DMRS symbol and additional DMRS symbol(s) indicates the time domain pattern of DMRS. Similar scheme can be used for PSSCH DMRS, for example, the available number of additional DMRS symbol(s), i.e. </w:t>
      </w:r>
      <w:r w:rsidR="003307D7">
        <w:rPr>
          <w:rFonts w:hint="eastAsia"/>
          <w:sz w:val="20"/>
          <w:szCs w:val="22"/>
        </w:rPr>
        <w:t>[0,1,2,3</w:t>
      </w:r>
      <w:r>
        <w:rPr>
          <w:rFonts w:hint="eastAsia"/>
          <w:sz w:val="20"/>
          <w:szCs w:val="22"/>
        </w:rPr>
        <w:t>], can be configured per resource pool. The one or more configured number of additional DMRS symbol(s) present the available DMRS pattern(s) for this resource pool. According to the configured number of additional DMRS symbol(s), the available DMRS patterns for PSSCH can be determined.</w:t>
      </w:r>
    </w:p>
    <w:p w:rsidR="00096470" w:rsidRDefault="003307D7">
      <w:pPr>
        <w:pStyle w:val="YJ-Proposal"/>
        <w:spacing w:before="120" w:after="120"/>
        <w:rPr>
          <w:rFonts w:eastAsia="SimSun"/>
          <w:b w:val="0"/>
          <w:bCs w:val="0"/>
          <w:i w:val="0"/>
          <w:iCs w:val="0"/>
          <w:szCs w:val="22"/>
          <w:lang w:val="en-US" w:eastAsia="zh-CN"/>
        </w:rPr>
      </w:pPr>
      <w:bookmarkStart w:id="179" w:name="_Toc20774572"/>
      <w:r>
        <w:rPr>
          <w:rFonts w:eastAsia="SimSun"/>
          <w:szCs w:val="22"/>
          <w:lang w:val="en-US" w:eastAsia="zh-CN"/>
        </w:rPr>
        <w:t xml:space="preserve">One or multiple candidates on </w:t>
      </w:r>
      <w:r w:rsidR="00562CE6">
        <w:rPr>
          <w:rFonts w:eastAsia="SimSun" w:hint="eastAsia"/>
          <w:szCs w:val="22"/>
          <w:lang w:val="en-US" w:eastAsia="zh-CN"/>
        </w:rPr>
        <w:t xml:space="preserve">the number of additional </w:t>
      </w:r>
      <w:r>
        <w:rPr>
          <w:rFonts w:eastAsia="SimSun"/>
          <w:szCs w:val="22"/>
          <w:lang w:val="en-US" w:eastAsia="zh-CN"/>
        </w:rPr>
        <w:t xml:space="preserve">PSSCH </w:t>
      </w:r>
      <w:r w:rsidR="00562CE6">
        <w:rPr>
          <w:rFonts w:eastAsia="SimSun" w:hint="eastAsia"/>
          <w:szCs w:val="22"/>
          <w:lang w:val="en-US" w:eastAsia="zh-CN"/>
        </w:rPr>
        <w:t>DMRS symbol(s)</w:t>
      </w:r>
      <w:r>
        <w:rPr>
          <w:rFonts w:eastAsia="SimSun"/>
          <w:szCs w:val="22"/>
          <w:lang w:val="en-US" w:eastAsia="zh-CN"/>
        </w:rPr>
        <w:t xml:space="preserve"> besides the first PSSCH DMRS symbol per slot</w:t>
      </w:r>
      <w:r w:rsidR="00562CE6">
        <w:rPr>
          <w:rFonts w:eastAsia="SimSun" w:hint="eastAsia"/>
          <w:szCs w:val="22"/>
          <w:lang w:val="en-US" w:eastAsia="zh-CN"/>
        </w:rPr>
        <w:t xml:space="preserve"> should be (pre-)configured per resource pool.</w:t>
      </w:r>
      <w:bookmarkEnd w:id="179"/>
    </w:p>
    <w:p w:rsidR="00096470" w:rsidRDefault="00562CE6">
      <w:pPr>
        <w:spacing w:before="120" w:after="120"/>
        <w:rPr>
          <w:sz w:val="20"/>
          <w:szCs w:val="22"/>
        </w:rPr>
      </w:pPr>
      <w:r>
        <w:rPr>
          <w:rFonts w:hint="eastAsia"/>
          <w:sz w:val="20"/>
          <w:szCs w:val="22"/>
        </w:rPr>
        <w:t xml:space="preserve">For PDSCH/PUSCH DMRS, the DMRS symbol location is determined according to the configured first DMRS symbol position and resource mapping type which has respective definitions and mapping relationships of DMRS symbols for PDSCH and PUSCH. Using the NR DMRS scheme as the start point for PSSCH DMRS discussion, some rules of the available position of the first DMRS symbol and the relationship between DMRS symbol location and the number of symbols used as PSSCH should be defined. </w:t>
      </w:r>
    </w:p>
    <w:p w:rsidR="00096470" w:rsidRDefault="00562CE6">
      <w:pPr>
        <w:spacing w:before="120" w:after="120"/>
        <w:rPr>
          <w:sz w:val="20"/>
          <w:szCs w:val="22"/>
        </w:rPr>
      </w:pPr>
      <w:r>
        <w:rPr>
          <w:rFonts w:hint="eastAsia"/>
          <w:sz w:val="20"/>
          <w:szCs w:val="22"/>
        </w:rPr>
        <w:t>In details, as mentioned in PSSCH resource structure analyses, the first symbol of PSSCH resource is impacted by AGC, therefore it should not be used as DMRS symbol. In general, a same first DMRS symbol position for all patterns may benefit the indication and detection of DMRS and this rule is used in NR, but it may influence the performance of PSSCH decoding for the case that a pattern of only the first DMRS symbol is used.</w:t>
      </w:r>
    </w:p>
    <w:p w:rsidR="00096470" w:rsidRDefault="00562CE6">
      <w:pPr>
        <w:pStyle w:val="YJ-Proposal"/>
        <w:spacing w:before="120" w:after="120"/>
        <w:rPr>
          <w:rFonts w:eastAsia="SimSun"/>
          <w:b w:val="0"/>
          <w:bCs w:val="0"/>
          <w:i w:val="0"/>
          <w:iCs w:val="0"/>
          <w:szCs w:val="22"/>
          <w:lang w:val="en-US" w:eastAsia="zh-CN"/>
        </w:rPr>
      </w:pPr>
      <w:bookmarkStart w:id="180" w:name="_Toc20774573"/>
      <w:r>
        <w:rPr>
          <w:rFonts w:eastAsia="SimSun" w:hint="eastAsia"/>
          <w:szCs w:val="22"/>
          <w:lang w:val="en-US" w:eastAsia="zh-CN"/>
        </w:rPr>
        <w:t xml:space="preserve">The DMRS symbol location of PSSCH </w:t>
      </w:r>
      <w:r w:rsidR="00A821E4">
        <w:rPr>
          <w:rFonts w:eastAsia="SimSun"/>
          <w:szCs w:val="22"/>
          <w:lang w:val="en-US" w:eastAsia="zh-CN"/>
        </w:rPr>
        <w:t xml:space="preserve">in a slot </w:t>
      </w:r>
      <w:r>
        <w:rPr>
          <w:rFonts w:eastAsia="SimSun" w:hint="eastAsia"/>
          <w:szCs w:val="22"/>
          <w:lang w:val="en-US" w:eastAsia="zh-CN"/>
        </w:rPr>
        <w:t>should be determined according to the number of symbols of the PSSCH resource</w:t>
      </w:r>
      <w:r w:rsidR="00A821E4">
        <w:rPr>
          <w:rFonts w:eastAsia="SimSun"/>
          <w:szCs w:val="22"/>
          <w:lang w:val="en-US" w:eastAsia="zh-CN"/>
        </w:rPr>
        <w:t xml:space="preserve"> in the slot</w:t>
      </w:r>
      <w:r>
        <w:rPr>
          <w:rFonts w:eastAsia="SimSun" w:hint="eastAsia"/>
          <w:szCs w:val="22"/>
          <w:lang w:val="en-US" w:eastAsia="zh-CN"/>
        </w:rPr>
        <w:t>.</w:t>
      </w:r>
      <w:bookmarkEnd w:id="180"/>
      <w:r w:rsidR="00A821E4">
        <w:rPr>
          <w:rFonts w:eastAsia="SimSun"/>
          <w:szCs w:val="22"/>
          <w:lang w:val="en-US" w:eastAsia="zh-CN"/>
        </w:rPr>
        <w:t xml:space="preserve"> </w:t>
      </w:r>
    </w:p>
    <w:p w:rsidR="00096470" w:rsidRPr="00BE307F" w:rsidRDefault="00562CE6">
      <w:pPr>
        <w:pStyle w:val="YJ-Proposal"/>
        <w:spacing w:before="120" w:after="120"/>
        <w:rPr>
          <w:rFonts w:eastAsia="SimSun"/>
          <w:b w:val="0"/>
          <w:bCs w:val="0"/>
          <w:i w:val="0"/>
          <w:iCs w:val="0"/>
          <w:szCs w:val="22"/>
          <w:lang w:val="en-US" w:eastAsia="zh-CN"/>
        </w:rPr>
      </w:pPr>
      <w:bookmarkStart w:id="181" w:name="_Toc20774574"/>
      <w:r w:rsidRPr="00BE307F">
        <w:rPr>
          <w:rFonts w:eastAsia="SimSun" w:hint="eastAsia"/>
          <w:szCs w:val="22"/>
          <w:lang w:val="en-US" w:eastAsia="zh-CN"/>
        </w:rPr>
        <w:t xml:space="preserve">The first symbol of </w:t>
      </w:r>
      <w:r w:rsidR="00BE307F" w:rsidRPr="003307D7">
        <w:rPr>
          <w:rFonts w:eastAsia="SimSun"/>
          <w:szCs w:val="22"/>
          <w:lang w:val="en-US" w:eastAsia="zh-CN"/>
        </w:rPr>
        <w:t>PSSCH</w:t>
      </w:r>
      <w:r w:rsidRPr="00BE307F">
        <w:rPr>
          <w:rFonts w:eastAsia="SimSun" w:hint="eastAsia"/>
          <w:szCs w:val="22"/>
          <w:lang w:val="en-US" w:eastAsia="zh-CN"/>
        </w:rPr>
        <w:t xml:space="preserve"> </w:t>
      </w:r>
      <w:r w:rsidR="00280678" w:rsidRPr="00BE307F">
        <w:rPr>
          <w:rFonts w:eastAsia="SimSun"/>
          <w:szCs w:val="22"/>
          <w:lang w:val="en-US" w:eastAsia="zh-CN"/>
        </w:rPr>
        <w:t>does not carry</w:t>
      </w:r>
      <w:r w:rsidRPr="00BE307F">
        <w:rPr>
          <w:rFonts w:eastAsia="SimSun" w:hint="eastAsia"/>
          <w:szCs w:val="22"/>
          <w:lang w:val="en-US" w:eastAsia="zh-CN"/>
        </w:rPr>
        <w:t xml:space="preserve"> DMRS.</w:t>
      </w:r>
      <w:bookmarkEnd w:id="181"/>
      <w:r w:rsidRPr="00BE307F">
        <w:rPr>
          <w:rFonts w:eastAsia="SimSun" w:hint="eastAsia"/>
          <w:szCs w:val="22"/>
          <w:lang w:val="en-US" w:eastAsia="zh-CN"/>
        </w:rPr>
        <w:t xml:space="preserve"> </w:t>
      </w:r>
    </w:p>
    <w:p w:rsidR="00096470" w:rsidRDefault="00562CE6">
      <w:pPr>
        <w:spacing w:before="120" w:after="120"/>
        <w:rPr>
          <w:sz w:val="20"/>
          <w:szCs w:val="22"/>
        </w:rPr>
      </w:pPr>
      <w:r>
        <w:rPr>
          <w:rFonts w:hint="eastAsia"/>
          <w:sz w:val="20"/>
          <w:szCs w:val="22"/>
        </w:rPr>
        <w:t xml:space="preserve">As (pre-)configuration of one or more DMRS patterns in time domain per resource pool is supported and the DMRS pattern used by transmitting UE should be indicated in SCI, a dedicated DMRS indicator should be included in SCI. Even for the case that only one DMRS pattern is configured for a resource pool, the DMRS pattern indication bits should be reserved in order to avoid a variable-length SCI format. In short, the bit number of DMRS indicator in SCI should be fixed, the exact overhead FFS. </w:t>
      </w:r>
    </w:p>
    <w:p w:rsidR="00096470" w:rsidRDefault="00BE307F">
      <w:pPr>
        <w:pStyle w:val="YJ-Proposal"/>
        <w:spacing w:before="120" w:after="120"/>
        <w:rPr>
          <w:szCs w:val="22"/>
          <w:lang w:val="en-US" w:eastAsia="zh-CN"/>
        </w:rPr>
      </w:pPr>
      <w:bookmarkStart w:id="182" w:name="_Toc20774575"/>
      <w:r>
        <w:rPr>
          <w:rFonts w:eastAsia="SimSun"/>
          <w:szCs w:val="22"/>
          <w:lang w:val="en-US" w:eastAsia="zh-CN"/>
        </w:rPr>
        <w:t>The</w:t>
      </w:r>
      <w:r w:rsidR="00562CE6">
        <w:rPr>
          <w:rFonts w:eastAsia="SimSun" w:hint="eastAsia"/>
          <w:szCs w:val="22"/>
          <w:lang w:val="en-US" w:eastAsia="zh-CN"/>
        </w:rPr>
        <w:t xml:space="preserve"> DMRS pattern indication in SCI</w:t>
      </w:r>
      <w:r>
        <w:rPr>
          <w:rFonts w:eastAsia="SimSun"/>
          <w:szCs w:val="22"/>
          <w:lang w:val="en-US" w:eastAsia="zh-CN"/>
        </w:rPr>
        <w:t xml:space="preserve"> has fixed number of bits</w:t>
      </w:r>
      <w:r w:rsidR="00562CE6">
        <w:rPr>
          <w:rFonts w:eastAsia="SimSun" w:hint="eastAsia"/>
          <w:szCs w:val="22"/>
          <w:lang w:val="en-US" w:eastAsia="zh-CN"/>
        </w:rPr>
        <w:t>.</w:t>
      </w:r>
      <w:bookmarkEnd w:id="182"/>
    </w:p>
    <w:p w:rsidR="00096470" w:rsidRDefault="00562CE6">
      <w:pPr>
        <w:pStyle w:val="Heading1"/>
        <w:pBdr>
          <w:top w:val="none" w:sz="0" w:space="1" w:color="auto"/>
          <w:left w:val="none" w:sz="0" w:space="4" w:color="auto"/>
          <w:bottom w:val="none" w:sz="0" w:space="1" w:color="auto"/>
          <w:right w:val="none" w:sz="0" w:space="4" w:color="auto"/>
        </w:pBdr>
        <w:spacing w:before="120" w:after="120"/>
        <w:ind w:left="0"/>
        <w:rPr>
          <w:szCs w:val="22"/>
        </w:rPr>
      </w:pPr>
      <w:bookmarkStart w:id="183" w:name="_Ref8567"/>
      <w:r>
        <w:rPr>
          <w:rFonts w:hint="eastAsia"/>
          <w:szCs w:val="22"/>
        </w:rPr>
        <w:t xml:space="preserve">PSFCH </w:t>
      </w:r>
    </w:p>
    <w:p w:rsidR="00096470" w:rsidRDefault="00562CE6">
      <w:pPr>
        <w:pStyle w:val="Heading2"/>
        <w:spacing w:before="120" w:after="120"/>
        <w:ind w:left="991" w:right="210" w:hangingChars="354" w:hanging="991"/>
        <w:rPr>
          <w:szCs w:val="22"/>
        </w:rPr>
      </w:pPr>
      <w:r>
        <w:rPr>
          <w:rFonts w:hint="eastAsia"/>
          <w:szCs w:val="22"/>
        </w:rPr>
        <w:t>Channel unit</w:t>
      </w:r>
    </w:p>
    <w:p w:rsidR="00096470" w:rsidRDefault="00562CE6">
      <w:pPr>
        <w:spacing w:before="120" w:after="120"/>
        <w:rPr>
          <w:sz w:val="20"/>
        </w:rPr>
      </w:pPr>
      <w:r>
        <w:rPr>
          <w:rFonts w:hint="eastAsia"/>
          <w:sz w:val="20"/>
        </w:rPr>
        <w:t>It is agreed that a</w:t>
      </w:r>
      <w:r>
        <w:rPr>
          <w:rFonts w:hint="eastAsia"/>
          <w:sz w:val="20"/>
          <w:lang w:eastAsia="ko-KR"/>
        </w:rPr>
        <w:t xml:space="preserve"> sequence-based PSFCH format with one symbol</w:t>
      </w:r>
      <w:r>
        <w:rPr>
          <w:rFonts w:hint="eastAsia"/>
          <w:sz w:val="20"/>
        </w:rPr>
        <w:t xml:space="preserve"> (</w:t>
      </w:r>
      <w:r>
        <w:rPr>
          <w:rFonts w:eastAsia="DengXian"/>
          <w:sz w:val="20"/>
          <w:lang w:eastAsia="ko-KR"/>
        </w:rPr>
        <w:t>not including AGC training period)</w:t>
      </w:r>
      <w:r>
        <w:rPr>
          <w:rFonts w:hint="eastAsia"/>
          <w:sz w:val="20"/>
          <w:lang w:eastAsia="ko-KR"/>
        </w:rPr>
        <w:t xml:space="preserve"> </w:t>
      </w:r>
      <w:r>
        <w:rPr>
          <w:rFonts w:eastAsia="DengXian" w:hint="eastAsia"/>
          <w:sz w:val="20"/>
          <w:lang w:eastAsia="ko-KR"/>
        </w:rPr>
        <w:t>is supported</w:t>
      </w:r>
      <w:r>
        <w:rPr>
          <w:rFonts w:hint="eastAsia"/>
          <w:sz w:val="20"/>
        </w:rPr>
        <w:t xml:space="preserve">. In general, it </w:t>
      </w:r>
      <w:r>
        <w:rPr>
          <w:sz w:val="20"/>
        </w:rPr>
        <w:t>can</w:t>
      </w:r>
      <w:r>
        <w:rPr>
          <w:rFonts w:hint="eastAsia"/>
          <w:sz w:val="20"/>
        </w:rPr>
        <w:t xml:space="preserve"> reuse the PUCCH format 0 which contains 1 or 2 symbols and one RB to carry A/N/SR information. Considering the requirement of sidelink feedback, it is sufficient to reuse the PUCCH format 0 as PSFCH resource format and it needs no extra standard effort. Accordingly, one RB for a PSFCH frequency resource should be determined, the same as PUCCH format 0. To carry sidelink A/N information, this PSFCH format is </w:t>
      </w:r>
      <w:r>
        <w:rPr>
          <w:sz w:val="20"/>
        </w:rPr>
        <w:t>sufficient</w:t>
      </w:r>
      <w:r>
        <w:rPr>
          <w:rFonts w:hint="eastAsia"/>
          <w:sz w:val="20"/>
        </w:rPr>
        <w:t xml:space="preserve"> and no other formats are needed.</w:t>
      </w:r>
    </w:p>
    <w:p w:rsidR="00096470" w:rsidRDefault="00562CE6">
      <w:pPr>
        <w:pStyle w:val="YJ-Proposal"/>
        <w:spacing w:before="120" w:after="120"/>
        <w:rPr>
          <w:lang w:val="en-US" w:eastAsia="zh-CN"/>
        </w:rPr>
      </w:pPr>
      <w:bookmarkStart w:id="184" w:name="_Toc20774576"/>
      <w:r>
        <w:rPr>
          <w:rFonts w:hint="eastAsia"/>
          <w:szCs w:val="22"/>
          <w:lang w:val="en-US" w:eastAsia="zh-CN"/>
        </w:rPr>
        <w:t xml:space="preserve">In frequency domain, one PSFCH resource consists </w:t>
      </w:r>
      <w:r w:rsidR="00361926">
        <w:rPr>
          <w:szCs w:val="22"/>
          <w:lang w:val="en-US" w:eastAsia="zh-CN"/>
        </w:rPr>
        <w:t xml:space="preserve">of </w:t>
      </w:r>
      <w:r>
        <w:rPr>
          <w:rFonts w:hint="eastAsia"/>
          <w:szCs w:val="22"/>
          <w:lang w:val="en-US" w:eastAsia="zh-CN"/>
        </w:rPr>
        <w:t>one RB.</w:t>
      </w:r>
      <w:bookmarkEnd w:id="184"/>
      <w:r>
        <w:rPr>
          <w:rFonts w:hint="eastAsia"/>
          <w:szCs w:val="22"/>
          <w:lang w:val="en-US" w:eastAsia="zh-CN"/>
        </w:rPr>
        <w:t xml:space="preserve"> </w:t>
      </w:r>
    </w:p>
    <w:p w:rsidR="00096470" w:rsidRDefault="00562CE6">
      <w:pPr>
        <w:spacing w:before="120" w:after="120"/>
        <w:rPr>
          <w:sz w:val="20"/>
        </w:rPr>
      </w:pPr>
      <w:r>
        <w:rPr>
          <w:rFonts w:hint="eastAsia"/>
          <w:sz w:val="20"/>
        </w:rPr>
        <w:t>In addition, as several RBs are assigned for one sub-channel and the frequency resource of a PSFCH should locate within the range of relevant PSSCH, it means that several RBs on the symbol reserved for PSFCH may be vacant. In order to improve the PSFCH performance and avoid resource waste, frequency repetitio</w:t>
      </w:r>
      <w:r w:rsidR="003D7824">
        <w:rPr>
          <w:rFonts w:hint="eastAsia"/>
          <w:sz w:val="20"/>
        </w:rPr>
        <w:t>n of PSFCH should be considered. A</w:t>
      </w:r>
      <w:r>
        <w:rPr>
          <w:rFonts w:hint="eastAsia"/>
          <w:sz w:val="20"/>
        </w:rPr>
        <w:t xml:space="preserve">n example is shown in </w:t>
      </w:r>
      <w:r w:rsidR="00985DD6">
        <w:rPr>
          <w:rFonts w:hint="eastAsia"/>
          <w:sz w:val="20"/>
        </w:rPr>
        <w:fldChar w:fldCharType="begin"/>
      </w:r>
      <w:r>
        <w:rPr>
          <w:rFonts w:hint="eastAsia"/>
          <w:sz w:val="20"/>
        </w:rPr>
        <w:instrText xml:space="preserve"> REF _Ref30354 \h </w:instrText>
      </w:r>
      <w:r w:rsidR="00985DD6">
        <w:rPr>
          <w:rFonts w:hint="eastAsia"/>
          <w:sz w:val="20"/>
        </w:rPr>
      </w:r>
      <w:r w:rsidR="00985DD6">
        <w:rPr>
          <w:rFonts w:hint="eastAsia"/>
          <w:sz w:val="20"/>
        </w:rPr>
        <w:fldChar w:fldCharType="separate"/>
      </w:r>
      <w:r w:rsidR="003D7824">
        <w:rPr>
          <w:rFonts w:hint="eastAsia"/>
          <w:b/>
          <w:bCs/>
          <w:sz w:val="20"/>
          <w:szCs w:val="22"/>
        </w:rPr>
        <w:t xml:space="preserve">Figure </w:t>
      </w:r>
      <w:r w:rsidR="003D7824">
        <w:rPr>
          <w:b/>
          <w:bCs/>
          <w:noProof/>
          <w:sz w:val="20"/>
          <w:szCs w:val="22"/>
        </w:rPr>
        <w:t>7</w:t>
      </w:r>
      <w:r w:rsidR="00985DD6">
        <w:rPr>
          <w:rFonts w:hint="eastAsia"/>
          <w:sz w:val="20"/>
        </w:rPr>
        <w:fldChar w:fldCharType="end"/>
      </w:r>
      <w:r>
        <w:rPr>
          <w:rFonts w:hint="eastAsia"/>
          <w:sz w:val="20"/>
        </w:rPr>
        <w:t xml:space="preserve">, </w:t>
      </w:r>
      <w:r w:rsidR="003D7824">
        <w:rPr>
          <w:sz w:val="20"/>
        </w:rPr>
        <w:t xml:space="preserve">and </w:t>
      </w:r>
      <w:r>
        <w:rPr>
          <w:rFonts w:hint="eastAsia"/>
          <w:sz w:val="20"/>
        </w:rPr>
        <w:t>further details need FFS.</w:t>
      </w:r>
    </w:p>
    <w:p w:rsidR="00096470" w:rsidRDefault="00562CE6">
      <w:pPr>
        <w:pStyle w:val="YJ-Proposal"/>
        <w:spacing w:before="120" w:after="120"/>
        <w:rPr>
          <w:lang w:val="en-US" w:eastAsia="zh-CN"/>
        </w:rPr>
      </w:pPr>
      <w:bookmarkStart w:id="185" w:name="_Toc20774577"/>
      <w:r>
        <w:rPr>
          <w:rFonts w:hint="eastAsia"/>
          <w:lang w:val="en-US" w:eastAsia="zh-CN"/>
        </w:rPr>
        <w:lastRenderedPageBreak/>
        <w:t>To improve the receiving performance, frequency domain repetition of PSFCH should be considered.</w:t>
      </w:r>
      <w:bookmarkEnd w:id="185"/>
    </w:p>
    <w:p w:rsidR="00096470" w:rsidRDefault="00562CE6">
      <w:pPr>
        <w:spacing w:before="120" w:after="120"/>
        <w:rPr>
          <w:sz w:val="20"/>
        </w:rPr>
      </w:pPr>
      <w:r>
        <w:rPr>
          <w:rFonts w:hint="eastAsia"/>
          <w:sz w:val="20"/>
        </w:rPr>
        <w:t>In addition, the transmitter UEs of PSCCH/PSSCH and PSFCH within a slot may be different, therefore an additional AGC process should be conducted before PSFCH receiving. To ensure the performance of PSFCH, a repetition symbol used for AGC training can be located before the actual PSFCH symbol. B</w:t>
      </w:r>
      <w:r>
        <w:rPr>
          <w:sz w:val="20"/>
        </w:rPr>
        <w:t>ecause</w:t>
      </w:r>
      <w:r>
        <w:rPr>
          <w:rFonts w:hint="eastAsia"/>
          <w:sz w:val="20"/>
        </w:rPr>
        <w:t xml:space="preserve"> PUCCH format 0 is already supported to mapping to two symbols with CS hopping, it can be reused here to generate the signal on the prior symbol of PSFCH. In short, as shown in </w:t>
      </w:r>
      <w:r w:rsidR="00985DD6">
        <w:rPr>
          <w:rFonts w:hint="eastAsia"/>
          <w:sz w:val="20"/>
        </w:rPr>
        <w:fldChar w:fldCharType="begin"/>
      </w:r>
      <w:r>
        <w:rPr>
          <w:rFonts w:hint="eastAsia"/>
          <w:sz w:val="20"/>
        </w:rPr>
        <w:instrText xml:space="preserve"> REF _Ref30354 \h </w:instrText>
      </w:r>
      <w:r w:rsidR="00985DD6">
        <w:rPr>
          <w:rFonts w:hint="eastAsia"/>
          <w:sz w:val="20"/>
        </w:rPr>
      </w:r>
      <w:r w:rsidR="00985DD6">
        <w:rPr>
          <w:rFonts w:hint="eastAsia"/>
          <w:sz w:val="20"/>
        </w:rPr>
        <w:fldChar w:fldCharType="separate"/>
      </w:r>
      <w:r w:rsidR="003D7824">
        <w:rPr>
          <w:rFonts w:hint="eastAsia"/>
          <w:b/>
          <w:bCs/>
          <w:sz w:val="20"/>
          <w:szCs w:val="22"/>
        </w:rPr>
        <w:t xml:space="preserve">Figure </w:t>
      </w:r>
      <w:r w:rsidR="003D7824">
        <w:rPr>
          <w:b/>
          <w:bCs/>
          <w:noProof/>
          <w:sz w:val="20"/>
          <w:szCs w:val="22"/>
        </w:rPr>
        <w:t>7</w:t>
      </w:r>
      <w:r w:rsidR="00985DD6">
        <w:rPr>
          <w:rFonts w:hint="eastAsia"/>
          <w:sz w:val="20"/>
        </w:rPr>
        <w:fldChar w:fldCharType="end"/>
      </w:r>
      <w:r>
        <w:rPr>
          <w:rFonts w:hint="eastAsia"/>
          <w:sz w:val="20"/>
        </w:rPr>
        <w:t>, the structure with one symbol of sequence-based A/N and one repetition symbol which also covers AGC should be used for PSFCH.</w:t>
      </w:r>
    </w:p>
    <w:p w:rsidR="00096470" w:rsidRDefault="00562CE6">
      <w:pPr>
        <w:pStyle w:val="YJ-Proposal"/>
        <w:spacing w:before="120" w:after="120"/>
        <w:rPr>
          <w:lang w:val="en-US" w:eastAsia="zh-CN"/>
        </w:rPr>
      </w:pPr>
      <w:bookmarkStart w:id="186" w:name="_Toc4343"/>
      <w:bookmarkStart w:id="187" w:name="_Toc9439"/>
      <w:bookmarkStart w:id="188" w:name="_Toc23295"/>
      <w:bookmarkStart w:id="189" w:name="_Toc29951"/>
      <w:bookmarkStart w:id="190" w:name="_Toc10642"/>
      <w:bookmarkStart w:id="191" w:name="_Toc20774578"/>
      <w:r>
        <w:rPr>
          <w:szCs w:val="22"/>
          <w:lang w:val="en-US" w:eastAsia="zh-CN"/>
        </w:rPr>
        <w:t>R</w:t>
      </w:r>
      <w:r>
        <w:rPr>
          <w:rFonts w:hint="eastAsia"/>
          <w:szCs w:val="22"/>
          <w:lang w:val="en-US" w:eastAsia="zh-CN"/>
        </w:rPr>
        <w:t>euse the structure of PUCCH format 0 on 2 symbols for PSFCH (including AGC).</w:t>
      </w:r>
      <w:bookmarkEnd w:id="186"/>
      <w:bookmarkEnd w:id="187"/>
      <w:bookmarkEnd w:id="188"/>
      <w:bookmarkEnd w:id="189"/>
      <w:bookmarkEnd w:id="190"/>
      <w:bookmarkEnd w:id="191"/>
    </w:p>
    <w:p w:rsidR="00096470" w:rsidRDefault="00562CE6" w:rsidP="003307D7">
      <w:pPr>
        <w:spacing w:beforeLines="0" w:afterLines="0"/>
        <w:jc w:val="center"/>
        <w:rPr>
          <w:sz w:val="20"/>
        </w:rPr>
      </w:pPr>
      <w:r>
        <w:rPr>
          <w:rFonts w:hint="eastAsia"/>
          <w:noProof/>
          <w:sz w:val="20"/>
        </w:rPr>
        <w:drawing>
          <wp:inline distT="0" distB="0" distL="114300" distR="114300">
            <wp:extent cx="2625708" cy="2421819"/>
            <wp:effectExtent l="0" t="0" r="3810" b="0"/>
            <wp:docPr id="1" name="图片 1" descr="PSF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PSFCH"/>
                    <pic:cNvPicPr>
                      <a:picLocks noChangeAspect="1"/>
                    </pic:cNvPicPr>
                  </pic:nvPicPr>
                  <pic:blipFill>
                    <a:blip r:embed="rId14" cstate="print"/>
                    <a:stretch>
                      <a:fillRect/>
                    </a:stretch>
                  </pic:blipFill>
                  <pic:spPr>
                    <a:xfrm>
                      <a:off x="0" y="0"/>
                      <a:ext cx="2630059" cy="2425832"/>
                    </a:xfrm>
                    <a:prstGeom prst="rect">
                      <a:avLst/>
                    </a:prstGeom>
                  </pic:spPr>
                </pic:pic>
              </a:graphicData>
            </a:graphic>
          </wp:inline>
        </w:drawing>
      </w:r>
    </w:p>
    <w:p w:rsidR="00096470" w:rsidRDefault="00562CE6">
      <w:pPr>
        <w:pStyle w:val="Caption"/>
        <w:jc w:val="center"/>
        <w:rPr>
          <w:b w:val="0"/>
          <w:bCs/>
          <w:sz w:val="20"/>
          <w:szCs w:val="22"/>
        </w:rPr>
      </w:pPr>
      <w:bookmarkStart w:id="192" w:name="_Ref30354"/>
      <w:r>
        <w:rPr>
          <w:rFonts w:hint="eastAsia"/>
          <w:b w:val="0"/>
          <w:bCs/>
          <w:sz w:val="20"/>
          <w:szCs w:val="22"/>
        </w:rPr>
        <w:t xml:space="preserve">Figure </w:t>
      </w:r>
      <w:r w:rsidR="00985DD6">
        <w:rPr>
          <w:rFonts w:hint="eastAsia"/>
          <w:b w:val="0"/>
          <w:bCs/>
          <w:sz w:val="20"/>
          <w:szCs w:val="22"/>
        </w:rPr>
        <w:fldChar w:fldCharType="begin"/>
      </w:r>
      <w:r>
        <w:rPr>
          <w:rFonts w:hint="eastAsia"/>
          <w:b w:val="0"/>
          <w:bCs/>
          <w:sz w:val="20"/>
          <w:szCs w:val="22"/>
        </w:rPr>
        <w:instrText xml:space="preserve"> SEQ Figure \* ARABIC </w:instrText>
      </w:r>
      <w:r w:rsidR="00985DD6">
        <w:rPr>
          <w:rFonts w:hint="eastAsia"/>
          <w:b w:val="0"/>
          <w:bCs/>
          <w:sz w:val="20"/>
          <w:szCs w:val="22"/>
        </w:rPr>
        <w:fldChar w:fldCharType="separate"/>
      </w:r>
      <w:r w:rsidR="003D7824">
        <w:rPr>
          <w:b w:val="0"/>
          <w:bCs/>
          <w:noProof/>
          <w:sz w:val="20"/>
          <w:szCs w:val="22"/>
        </w:rPr>
        <w:t>7</w:t>
      </w:r>
      <w:r w:rsidR="00985DD6">
        <w:rPr>
          <w:rFonts w:hint="eastAsia"/>
          <w:b w:val="0"/>
          <w:bCs/>
          <w:sz w:val="20"/>
          <w:szCs w:val="22"/>
        </w:rPr>
        <w:fldChar w:fldCharType="end"/>
      </w:r>
      <w:bookmarkEnd w:id="192"/>
      <w:r>
        <w:rPr>
          <w:rFonts w:hint="eastAsia"/>
          <w:b w:val="0"/>
          <w:bCs/>
          <w:sz w:val="20"/>
          <w:szCs w:val="22"/>
        </w:rPr>
        <w:t xml:space="preserve"> PSFCH format</w:t>
      </w:r>
    </w:p>
    <w:p w:rsidR="00096470" w:rsidRDefault="00562CE6">
      <w:pPr>
        <w:pStyle w:val="Heading2"/>
        <w:spacing w:before="120" w:after="120"/>
        <w:ind w:left="991" w:right="210" w:hangingChars="354" w:hanging="991"/>
        <w:rPr>
          <w:szCs w:val="22"/>
        </w:rPr>
      </w:pPr>
      <w:r>
        <w:rPr>
          <w:rFonts w:hint="eastAsia"/>
          <w:szCs w:val="22"/>
        </w:rPr>
        <w:t>Channel location</w:t>
      </w:r>
    </w:p>
    <w:p w:rsidR="00096470" w:rsidRDefault="00562CE6">
      <w:pPr>
        <w:spacing w:before="120" w:after="120"/>
        <w:jc w:val="left"/>
        <w:rPr>
          <w:i/>
          <w:kern w:val="0"/>
          <w:sz w:val="20"/>
        </w:rPr>
      </w:pPr>
      <w:r>
        <w:rPr>
          <w:i/>
          <w:kern w:val="0"/>
          <w:sz w:val="20"/>
          <w:highlight w:val="green"/>
        </w:rPr>
        <w:t>Agreements</w:t>
      </w:r>
      <w:r>
        <w:rPr>
          <w:i/>
          <w:kern w:val="0"/>
          <w:sz w:val="20"/>
        </w:rPr>
        <w:t xml:space="preserve"> </w:t>
      </w:r>
      <w:r>
        <w:rPr>
          <w:rFonts w:hint="eastAsia"/>
          <w:i/>
          <w:kern w:val="0"/>
          <w:sz w:val="20"/>
        </w:rPr>
        <w:t xml:space="preserve">in </w:t>
      </w:r>
      <w:r>
        <w:rPr>
          <w:i/>
          <w:kern w:val="0"/>
          <w:sz w:val="20"/>
        </w:rPr>
        <w:t>[98-NR-10]:</w:t>
      </w:r>
    </w:p>
    <w:p w:rsidR="00096470" w:rsidRDefault="00562CE6">
      <w:pPr>
        <w:pStyle w:val="Style1"/>
        <w:numPr>
          <w:ilvl w:val="0"/>
          <w:numId w:val="9"/>
        </w:numPr>
        <w:spacing w:before="120" w:after="120" w:afterAutospacing="0" w:line="240" w:lineRule="auto"/>
        <w:ind w:left="726" w:hanging="363"/>
        <w:rPr>
          <w:sz w:val="20"/>
        </w:rPr>
      </w:pPr>
      <w:r>
        <w:rPr>
          <w:i/>
          <w:sz w:val="20"/>
        </w:rPr>
        <w:t>In Rel-16, at least for sequence-based PSFCH format with one symbol (not including AGC training period), it is not supported to do FDM between PSSCH/PSCCH and PSFCH.</w:t>
      </w:r>
    </w:p>
    <w:p w:rsidR="00096470" w:rsidRDefault="00562CE6">
      <w:pPr>
        <w:spacing w:before="120" w:after="120"/>
        <w:rPr>
          <w:sz w:val="20"/>
        </w:rPr>
      </w:pPr>
      <w:r>
        <w:rPr>
          <w:rFonts w:hint="eastAsia"/>
          <w:sz w:val="20"/>
        </w:rPr>
        <w:t xml:space="preserve">According to the agreement, </w:t>
      </w:r>
      <w:r>
        <w:rPr>
          <w:sz w:val="20"/>
        </w:rPr>
        <w:t xml:space="preserve">PSFCH resource should be TDM with PSCCH/PSSCH resources according to resource pool configuration. Besides the symbols used for PSFCH (including AGC), a GP symbol should be reserved after PSFCH. </w:t>
      </w:r>
    </w:p>
    <w:p w:rsidR="00096470" w:rsidRDefault="00562CE6">
      <w:pPr>
        <w:spacing w:before="120" w:after="120"/>
        <w:rPr>
          <w:sz w:val="20"/>
        </w:rPr>
      </w:pPr>
      <w:r>
        <w:rPr>
          <w:rFonts w:hint="eastAsia"/>
          <w:sz w:val="20"/>
        </w:rPr>
        <w:t xml:space="preserve">In frequency domain, as sub-channel is used as PSSCH resource unit and each sub-channel may carry a data packet transmission, a natural scheme is to assign PSFCH resources depending on the sub-channels of PSSCH. Similar as PSCCH related to a PSSCH, </w:t>
      </w:r>
      <w:bookmarkStart w:id="193" w:name="_Ref26051"/>
      <w:r>
        <w:rPr>
          <w:rFonts w:hint="eastAsia"/>
          <w:sz w:val="20"/>
        </w:rPr>
        <w:t xml:space="preserve">PSFCH resource(s) can be defined on RB(s) within the sub-channels of associated PSSCH.  </w:t>
      </w:r>
    </w:p>
    <w:p w:rsidR="00096470" w:rsidRDefault="00562CE6">
      <w:pPr>
        <w:pStyle w:val="YJ-Proposal"/>
        <w:spacing w:before="120" w:after="120"/>
        <w:rPr>
          <w:rFonts w:eastAsia="SimSun"/>
          <w:szCs w:val="22"/>
          <w:lang w:val="en-US" w:eastAsia="zh-CN"/>
        </w:rPr>
      </w:pPr>
      <w:bookmarkStart w:id="194" w:name="_Toc29923"/>
      <w:bookmarkStart w:id="195" w:name="_Toc5649"/>
      <w:bookmarkStart w:id="196" w:name="_Toc5643"/>
      <w:bookmarkStart w:id="197" w:name="_Toc2267"/>
      <w:bookmarkStart w:id="198" w:name="_Toc29408"/>
      <w:bookmarkStart w:id="199" w:name="_Toc7752396"/>
      <w:bookmarkStart w:id="200" w:name="_Toc20774579"/>
      <w:r>
        <w:rPr>
          <w:rFonts w:eastAsia="SimSun" w:hint="eastAsia"/>
          <w:szCs w:val="22"/>
          <w:lang w:val="en-US" w:eastAsia="zh-CN"/>
        </w:rPr>
        <w:t xml:space="preserve">In frequency </w:t>
      </w:r>
      <w:r>
        <w:rPr>
          <w:rFonts w:hint="eastAsia"/>
          <w:szCs w:val="22"/>
          <w:lang w:val="en-US" w:eastAsia="zh-CN"/>
        </w:rPr>
        <w:t>domain</w:t>
      </w:r>
      <w:r>
        <w:rPr>
          <w:rFonts w:eastAsia="SimSun" w:hint="eastAsia"/>
          <w:szCs w:val="22"/>
          <w:lang w:val="en-US" w:eastAsia="zh-CN"/>
        </w:rPr>
        <w:t>, PSFCH resource(s) is located within the sub-channel(s) of relevant PSSCH.</w:t>
      </w:r>
      <w:bookmarkEnd w:id="194"/>
      <w:bookmarkEnd w:id="195"/>
      <w:bookmarkEnd w:id="196"/>
      <w:bookmarkEnd w:id="197"/>
      <w:bookmarkEnd w:id="198"/>
      <w:bookmarkEnd w:id="200"/>
      <w:r>
        <w:rPr>
          <w:rFonts w:eastAsia="SimSun" w:hint="eastAsia"/>
          <w:szCs w:val="22"/>
          <w:lang w:val="en-US" w:eastAsia="zh-CN"/>
        </w:rPr>
        <w:t xml:space="preserve"> </w:t>
      </w:r>
    </w:p>
    <w:bookmarkEnd w:id="193"/>
    <w:bookmarkEnd w:id="199"/>
    <w:p w:rsidR="00096470" w:rsidRDefault="00562CE6">
      <w:pPr>
        <w:pStyle w:val="Heading2"/>
        <w:spacing w:before="120" w:after="120"/>
        <w:ind w:left="991" w:right="210" w:hangingChars="354" w:hanging="991"/>
        <w:rPr>
          <w:szCs w:val="22"/>
        </w:rPr>
      </w:pPr>
      <w:r>
        <w:rPr>
          <w:rFonts w:hint="eastAsia"/>
          <w:szCs w:val="22"/>
        </w:rPr>
        <w:t xml:space="preserve">Period configuration of PSFCH </w:t>
      </w:r>
    </w:p>
    <w:p w:rsidR="00096470" w:rsidRDefault="00562CE6">
      <w:pPr>
        <w:spacing w:before="120" w:after="120"/>
        <w:rPr>
          <w:sz w:val="20"/>
        </w:rPr>
      </w:pPr>
      <w:r>
        <w:rPr>
          <w:rFonts w:hint="eastAsia"/>
          <w:sz w:val="20"/>
        </w:rPr>
        <w:t xml:space="preserve">It is agreed in RAN1 #97 meeting that N = 2 and N = 4 are supported for PSFCH configuration, where N slots are the period of PSFCH. </w:t>
      </w:r>
    </w:p>
    <w:p w:rsidR="00096470" w:rsidRDefault="00562CE6">
      <w:pPr>
        <w:spacing w:before="120" w:after="120"/>
        <w:rPr>
          <w:sz w:val="20"/>
        </w:rPr>
      </w:pPr>
      <w:r>
        <w:rPr>
          <w:rFonts w:hint="eastAsia"/>
          <w:sz w:val="20"/>
        </w:rPr>
        <w:t xml:space="preserve">It should be clarified that the </w:t>
      </w:r>
      <w:r>
        <w:rPr>
          <w:sz w:val="20"/>
        </w:rPr>
        <w:t>“</w:t>
      </w:r>
      <w:r>
        <w:rPr>
          <w:rFonts w:hint="eastAsia"/>
          <w:sz w:val="20"/>
        </w:rPr>
        <w:t>N slots</w:t>
      </w:r>
      <w:r>
        <w:rPr>
          <w:sz w:val="20"/>
        </w:rPr>
        <w:t>”</w:t>
      </w:r>
      <w:r>
        <w:rPr>
          <w:rFonts w:hint="eastAsia"/>
          <w:sz w:val="20"/>
        </w:rPr>
        <w:t xml:space="preserve"> here should not base on the physical slots array but a logical slot array which orders the slots included in the resource pool. In other words, as the period of PSFCH is configured as N slots, for every N logical slots which are contiguous contained in a resource pool, there are PSFCH resources in one slot, as shown in </w:t>
      </w:r>
      <w:r w:rsidR="00985DD6">
        <w:rPr>
          <w:rFonts w:hint="eastAsia"/>
          <w:sz w:val="20"/>
        </w:rPr>
        <w:fldChar w:fldCharType="begin"/>
      </w:r>
      <w:r>
        <w:rPr>
          <w:rFonts w:hint="eastAsia"/>
          <w:sz w:val="20"/>
        </w:rPr>
        <w:instrText xml:space="preserve"> REF _Ref32713 \h </w:instrText>
      </w:r>
      <w:r w:rsidR="00985DD6">
        <w:rPr>
          <w:rFonts w:hint="eastAsia"/>
          <w:sz w:val="20"/>
        </w:rPr>
      </w:r>
      <w:r w:rsidR="00985DD6">
        <w:rPr>
          <w:rFonts w:hint="eastAsia"/>
          <w:sz w:val="20"/>
        </w:rPr>
        <w:fldChar w:fldCharType="separate"/>
      </w:r>
      <w:r w:rsidR="003D7824">
        <w:rPr>
          <w:sz w:val="20"/>
        </w:rPr>
        <w:t xml:space="preserve">Figure </w:t>
      </w:r>
      <w:r w:rsidR="003D7824">
        <w:rPr>
          <w:noProof/>
          <w:sz w:val="20"/>
        </w:rPr>
        <w:t>8</w:t>
      </w:r>
      <w:r w:rsidR="00985DD6">
        <w:rPr>
          <w:rFonts w:hint="eastAsia"/>
          <w:sz w:val="20"/>
        </w:rPr>
        <w:fldChar w:fldCharType="end"/>
      </w:r>
      <w:r>
        <w:rPr>
          <w:rFonts w:hint="eastAsia"/>
          <w:sz w:val="20"/>
        </w:rPr>
        <w:t>.</w:t>
      </w:r>
    </w:p>
    <w:p w:rsidR="00096470" w:rsidRDefault="00562CE6">
      <w:pPr>
        <w:spacing w:before="120" w:after="120"/>
        <w:jc w:val="center"/>
        <w:rPr>
          <w:szCs w:val="22"/>
        </w:rPr>
      </w:pPr>
      <w:r>
        <w:rPr>
          <w:noProof/>
          <w:szCs w:val="22"/>
        </w:rPr>
        <w:lastRenderedPageBreak/>
        <w:drawing>
          <wp:inline distT="0" distB="0" distL="114300" distR="114300">
            <wp:extent cx="3950335" cy="820420"/>
            <wp:effectExtent l="0" t="0" r="12065" b="17780"/>
            <wp:docPr id="20" name="图片 20" descr="N 大于 1 PSF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N 大于 1 PSFCH"/>
                    <pic:cNvPicPr>
                      <a:picLocks noChangeAspect="1"/>
                    </pic:cNvPicPr>
                  </pic:nvPicPr>
                  <pic:blipFill>
                    <a:blip r:embed="rId15" cstate="print"/>
                    <a:stretch>
                      <a:fillRect/>
                    </a:stretch>
                  </pic:blipFill>
                  <pic:spPr>
                    <a:xfrm>
                      <a:off x="0" y="0"/>
                      <a:ext cx="3950335" cy="820420"/>
                    </a:xfrm>
                    <a:prstGeom prst="rect">
                      <a:avLst/>
                    </a:prstGeom>
                  </pic:spPr>
                </pic:pic>
              </a:graphicData>
            </a:graphic>
          </wp:inline>
        </w:drawing>
      </w:r>
    </w:p>
    <w:p w:rsidR="00096470" w:rsidRDefault="00562CE6">
      <w:pPr>
        <w:spacing w:before="120" w:after="120"/>
        <w:jc w:val="center"/>
        <w:rPr>
          <w:sz w:val="20"/>
        </w:rPr>
      </w:pPr>
      <w:bookmarkStart w:id="201" w:name="_Ref32713"/>
      <w:r>
        <w:rPr>
          <w:sz w:val="20"/>
        </w:rPr>
        <w:t xml:space="preserve">Figure </w:t>
      </w:r>
      <w:r w:rsidR="00985DD6">
        <w:rPr>
          <w:sz w:val="20"/>
        </w:rPr>
        <w:fldChar w:fldCharType="begin"/>
      </w:r>
      <w:r>
        <w:rPr>
          <w:sz w:val="20"/>
        </w:rPr>
        <w:instrText xml:space="preserve"> SEQ Figure \* ARABIC </w:instrText>
      </w:r>
      <w:r w:rsidR="00985DD6">
        <w:rPr>
          <w:sz w:val="20"/>
        </w:rPr>
        <w:fldChar w:fldCharType="separate"/>
      </w:r>
      <w:r w:rsidR="003D7824">
        <w:rPr>
          <w:noProof/>
          <w:sz w:val="20"/>
        </w:rPr>
        <w:t>8</w:t>
      </w:r>
      <w:r w:rsidR="00985DD6">
        <w:rPr>
          <w:sz w:val="20"/>
        </w:rPr>
        <w:fldChar w:fldCharType="end"/>
      </w:r>
      <w:bookmarkEnd w:id="201"/>
      <w:r>
        <w:rPr>
          <w:rFonts w:hint="eastAsia"/>
          <w:sz w:val="20"/>
        </w:rPr>
        <w:t xml:space="preserve"> PSFCH period configuration</w:t>
      </w:r>
    </w:p>
    <w:p w:rsidR="00096470" w:rsidRDefault="00562CE6">
      <w:pPr>
        <w:pStyle w:val="YJ-Proposal"/>
        <w:spacing w:before="120" w:after="120"/>
        <w:rPr>
          <w:lang w:val="en-US" w:eastAsia="zh-CN"/>
        </w:rPr>
      </w:pPr>
      <w:bookmarkStart w:id="202" w:name="_Toc15109"/>
      <w:bookmarkStart w:id="203" w:name="_Toc24219"/>
      <w:bookmarkStart w:id="204" w:name="_Toc12687"/>
      <w:bookmarkStart w:id="205" w:name="_Toc849"/>
      <w:bookmarkStart w:id="206" w:name="_Toc17649"/>
      <w:bookmarkStart w:id="207" w:name="_Toc7752397"/>
      <w:bookmarkStart w:id="208" w:name="_Toc20774580"/>
      <w:r>
        <w:rPr>
          <w:rFonts w:hint="eastAsia"/>
          <w:lang w:val="en-US" w:eastAsia="zh-CN"/>
        </w:rPr>
        <w:t xml:space="preserve">The period of PSFCH in unit of slot should be configurable </w:t>
      </w:r>
      <w:r w:rsidR="00A821E4">
        <w:rPr>
          <w:lang w:val="en-US" w:eastAsia="zh-CN"/>
        </w:rPr>
        <w:t>in terms of</w:t>
      </w:r>
      <w:r>
        <w:rPr>
          <w:rFonts w:hint="eastAsia"/>
          <w:lang w:val="en-US" w:eastAsia="zh-CN"/>
        </w:rPr>
        <w:t xml:space="preserve"> logical slots belonging to a resource pool.</w:t>
      </w:r>
      <w:bookmarkEnd w:id="208"/>
    </w:p>
    <w:p w:rsidR="00096470" w:rsidRDefault="00562CE6">
      <w:pPr>
        <w:pStyle w:val="Heading2"/>
        <w:spacing w:before="120" w:after="120"/>
        <w:ind w:left="991" w:right="210" w:hangingChars="354" w:hanging="991"/>
        <w:rPr>
          <w:szCs w:val="22"/>
        </w:rPr>
      </w:pPr>
      <w:r>
        <w:rPr>
          <w:rFonts w:hint="eastAsia"/>
          <w:szCs w:val="22"/>
        </w:rPr>
        <w:t xml:space="preserve">Timeline of PSFCH </w:t>
      </w:r>
    </w:p>
    <w:p w:rsidR="00096470" w:rsidRDefault="00562CE6">
      <w:pPr>
        <w:numPr>
          <w:ilvl w:val="255"/>
          <w:numId w:val="0"/>
        </w:numPr>
        <w:spacing w:before="120" w:after="120" w:line="260" w:lineRule="auto"/>
        <w:rPr>
          <w:sz w:val="20"/>
          <w:szCs w:val="22"/>
        </w:rPr>
      </w:pPr>
      <w:r>
        <w:rPr>
          <w:sz w:val="20"/>
          <w:szCs w:val="22"/>
        </w:rPr>
        <w:t>A</w:t>
      </w:r>
      <w:r>
        <w:rPr>
          <w:rFonts w:hint="eastAsia"/>
          <w:sz w:val="20"/>
          <w:szCs w:val="22"/>
        </w:rPr>
        <w:t>ccording to the agreements, two options of PSSCH-to-HARQ feedback timing are listed as following:</w:t>
      </w:r>
    </w:p>
    <w:p w:rsidR="00096470" w:rsidRDefault="00562CE6">
      <w:pPr>
        <w:pStyle w:val="Style1"/>
        <w:numPr>
          <w:ilvl w:val="0"/>
          <w:numId w:val="10"/>
        </w:numPr>
        <w:spacing w:before="120" w:after="120" w:afterAutospacing="0" w:line="240" w:lineRule="auto"/>
        <w:ind w:left="726" w:hanging="363"/>
        <w:rPr>
          <w:rFonts w:eastAsia="DengXian"/>
          <w:i/>
          <w:iCs/>
          <w:sz w:val="20"/>
          <w:szCs w:val="22"/>
          <w:lang w:eastAsia="ko-KR"/>
        </w:rPr>
      </w:pPr>
      <w:r>
        <w:rPr>
          <w:rFonts w:eastAsia="DengXian"/>
          <w:i/>
          <w:iCs/>
          <w:sz w:val="20"/>
          <w:szCs w:val="22"/>
          <w:lang w:eastAsia="ko-KR"/>
        </w:rPr>
        <w:t>Option 1: K is the number of logical slots (i.e., the slots within the resource pool)</w:t>
      </w:r>
    </w:p>
    <w:p w:rsidR="00096470" w:rsidRDefault="00562CE6">
      <w:pPr>
        <w:pStyle w:val="Style1"/>
        <w:numPr>
          <w:ilvl w:val="0"/>
          <w:numId w:val="10"/>
        </w:numPr>
        <w:spacing w:before="120" w:after="120" w:afterAutospacing="0" w:line="240" w:lineRule="auto"/>
        <w:ind w:left="726" w:hanging="363"/>
        <w:rPr>
          <w:rFonts w:eastAsia="DengXian"/>
          <w:i/>
          <w:iCs/>
          <w:sz w:val="20"/>
          <w:szCs w:val="22"/>
          <w:lang w:eastAsia="ko-KR"/>
        </w:rPr>
      </w:pPr>
      <w:r>
        <w:rPr>
          <w:rFonts w:eastAsia="DengXian"/>
          <w:i/>
          <w:iCs/>
          <w:sz w:val="20"/>
          <w:szCs w:val="22"/>
          <w:lang w:eastAsia="ko-KR"/>
        </w:rPr>
        <w:t>Option 2: K is the number of physical slots (i.e., the slots within and outside the resource pool)</w:t>
      </w:r>
    </w:p>
    <w:p w:rsidR="00096470" w:rsidRDefault="00562CE6">
      <w:pPr>
        <w:spacing w:before="120" w:after="120"/>
        <w:rPr>
          <w:sz w:val="20"/>
        </w:rPr>
      </w:pPr>
      <w:r>
        <w:rPr>
          <w:rFonts w:hint="eastAsia"/>
          <w:sz w:val="20"/>
        </w:rPr>
        <w:t xml:space="preserve">Based on the agreement, the </w:t>
      </w:r>
      <w:r>
        <w:rPr>
          <w:sz w:val="20"/>
        </w:rPr>
        <w:t>“</w:t>
      </w:r>
      <w:r>
        <w:rPr>
          <w:rFonts w:hint="eastAsia"/>
          <w:sz w:val="20"/>
        </w:rPr>
        <w:t>K</w:t>
      </w:r>
      <w:r>
        <w:rPr>
          <w:sz w:val="20"/>
        </w:rPr>
        <w:t>”</w:t>
      </w:r>
      <w:r>
        <w:rPr>
          <w:rFonts w:hint="eastAsia"/>
          <w:sz w:val="20"/>
        </w:rPr>
        <w:t xml:space="preserve"> should be understood as the (pre-)configured time gap between PSFCH and associated PSSCH which means the possible smallest physical slots interval between sidelink data and its feedback. While the actual PSFCH resource needs to be determined according to resource pool configuration, that is to say, slots in sidelink resource pool may be not consecutive and PSFCH resources may not allocated in each slot in the resource pool. It makes the actual physical slot interval between PSSCH in slot #n and available PSFCH in slot #n+a is </w:t>
      </w:r>
      <w:r>
        <w:rPr>
          <w:sz w:val="20"/>
        </w:rPr>
        <w:t>“</w:t>
      </w:r>
      <w:r>
        <w:rPr>
          <w:rFonts w:hint="eastAsia"/>
          <w:sz w:val="20"/>
        </w:rPr>
        <w:t>a</w:t>
      </w:r>
      <w:r>
        <w:rPr>
          <w:sz w:val="20"/>
        </w:rPr>
        <w:t>”</w:t>
      </w:r>
      <w:r>
        <w:rPr>
          <w:rFonts w:hint="eastAsia"/>
          <w:sz w:val="20"/>
        </w:rPr>
        <w:t xml:space="preserve">, accordingly, </w:t>
      </w:r>
      <w:r>
        <w:rPr>
          <w:sz w:val="20"/>
        </w:rPr>
        <w:t>“</w:t>
      </w:r>
      <w:r>
        <w:rPr>
          <w:rFonts w:hint="eastAsia"/>
          <w:sz w:val="20"/>
        </w:rPr>
        <w:t>a</w:t>
      </w:r>
      <w:r>
        <w:rPr>
          <w:sz w:val="20"/>
        </w:rPr>
        <w:t>”</w:t>
      </w:r>
      <w:r>
        <w:rPr>
          <w:rFonts w:hint="eastAsia"/>
          <w:sz w:val="20"/>
        </w:rPr>
        <w:t xml:space="preserve"> </w:t>
      </w:r>
      <w:r w:rsidR="00A821E4">
        <w:rPr>
          <w:sz w:val="20"/>
        </w:rPr>
        <w:t xml:space="preserve">is </w:t>
      </w:r>
      <w:r>
        <w:rPr>
          <w:rFonts w:hint="eastAsia"/>
          <w:sz w:val="20"/>
        </w:rPr>
        <w:t xml:space="preserve">equal </w:t>
      </w:r>
      <w:r w:rsidR="00A821E4">
        <w:rPr>
          <w:sz w:val="20"/>
        </w:rPr>
        <w:t xml:space="preserve">to </w:t>
      </w:r>
      <w:r>
        <w:rPr>
          <w:rFonts w:hint="eastAsia"/>
          <w:sz w:val="20"/>
        </w:rPr>
        <w:t>or large</w:t>
      </w:r>
      <w:r w:rsidR="00A821E4">
        <w:rPr>
          <w:sz w:val="20"/>
        </w:rPr>
        <w:t>r</w:t>
      </w:r>
      <w:r>
        <w:rPr>
          <w:rFonts w:hint="eastAsia"/>
          <w:sz w:val="20"/>
        </w:rPr>
        <w:t xml:space="preserve"> than </w:t>
      </w:r>
      <w:r>
        <w:rPr>
          <w:sz w:val="20"/>
        </w:rPr>
        <w:t>“</w:t>
      </w:r>
      <w:r>
        <w:rPr>
          <w:rFonts w:hint="eastAsia"/>
          <w:sz w:val="20"/>
        </w:rPr>
        <w:t>K</w:t>
      </w:r>
      <w:r>
        <w:rPr>
          <w:sz w:val="20"/>
        </w:rPr>
        <w:t>”</w:t>
      </w:r>
      <w:r>
        <w:rPr>
          <w:rFonts w:hint="eastAsia"/>
          <w:sz w:val="20"/>
        </w:rPr>
        <w:t xml:space="preserve">, as shown in </w:t>
      </w:r>
      <w:r w:rsidR="00985DD6">
        <w:rPr>
          <w:rFonts w:hint="eastAsia"/>
          <w:sz w:val="20"/>
        </w:rPr>
        <w:fldChar w:fldCharType="begin"/>
      </w:r>
      <w:r>
        <w:rPr>
          <w:rFonts w:hint="eastAsia"/>
          <w:sz w:val="20"/>
        </w:rPr>
        <w:instrText xml:space="preserve"> REF _Ref4716 \h </w:instrText>
      </w:r>
      <w:r w:rsidR="00985DD6">
        <w:rPr>
          <w:rFonts w:hint="eastAsia"/>
          <w:sz w:val="20"/>
        </w:rPr>
      </w:r>
      <w:r w:rsidR="00985DD6">
        <w:rPr>
          <w:rFonts w:hint="eastAsia"/>
          <w:sz w:val="20"/>
        </w:rPr>
        <w:fldChar w:fldCharType="separate"/>
      </w:r>
      <w:r w:rsidR="003D7824">
        <w:rPr>
          <w:b/>
          <w:bCs/>
          <w:sz w:val="20"/>
        </w:rPr>
        <w:t xml:space="preserve">Figure </w:t>
      </w:r>
      <w:r w:rsidR="003D7824">
        <w:rPr>
          <w:b/>
          <w:bCs/>
          <w:noProof/>
          <w:sz w:val="20"/>
        </w:rPr>
        <w:t>9</w:t>
      </w:r>
      <w:r w:rsidR="00985DD6">
        <w:rPr>
          <w:rFonts w:hint="eastAsia"/>
          <w:sz w:val="20"/>
        </w:rPr>
        <w:fldChar w:fldCharType="end"/>
      </w:r>
      <w:r>
        <w:rPr>
          <w:rFonts w:hint="eastAsia"/>
          <w:sz w:val="20"/>
        </w:rPr>
        <w:t>.</w:t>
      </w:r>
    </w:p>
    <w:p w:rsidR="00096470" w:rsidRDefault="00562CE6">
      <w:pPr>
        <w:spacing w:before="120" w:after="120"/>
        <w:rPr>
          <w:sz w:val="20"/>
        </w:rPr>
      </w:pPr>
      <w:r>
        <w:rPr>
          <w:rFonts w:hint="eastAsia"/>
          <w:sz w:val="20"/>
        </w:rPr>
        <w:t xml:space="preserve">Considering the flexibility of sidelink resource pool configuration and PSFCH configuration, the </w:t>
      </w:r>
      <w:r>
        <w:rPr>
          <w:sz w:val="20"/>
        </w:rPr>
        <w:t>“</w:t>
      </w:r>
      <w:r>
        <w:rPr>
          <w:rFonts w:hint="eastAsia"/>
          <w:sz w:val="20"/>
        </w:rPr>
        <w:t>K</w:t>
      </w:r>
      <w:r>
        <w:rPr>
          <w:sz w:val="20"/>
        </w:rPr>
        <w:t>”</w:t>
      </w:r>
      <w:r>
        <w:rPr>
          <w:rFonts w:hint="eastAsia"/>
          <w:sz w:val="20"/>
        </w:rPr>
        <w:t xml:space="preserve"> should present the smallest time gap in physical slots between data and feedback and should be (pre-)configured by high layer. Therefore, we prefer option 2 of the PSSCH-to-HARQ feedback timeline.</w:t>
      </w:r>
    </w:p>
    <w:p w:rsidR="00096470" w:rsidRDefault="00562CE6">
      <w:pPr>
        <w:spacing w:before="120" w:after="120"/>
        <w:jc w:val="center"/>
        <w:rPr>
          <w:rFonts w:ascii="Calibri" w:hAnsi="Calibri" w:cs="Calibri"/>
          <w:sz w:val="20"/>
        </w:rPr>
      </w:pPr>
      <w:r>
        <w:rPr>
          <w:rFonts w:ascii="Calibri" w:hAnsi="Calibri" w:cs="Calibri" w:hint="eastAsia"/>
          <w:noProof/>
          <w:sz w:val="20"/>
        </w:rPr>
        <w:drawing>
          <wp:inline distT="0" distB="0" distL="114300" distR="114300">
            <wp:extent cx="4154805" cy="1155065"/>
            <wp:effectExtent l="0" t="0" r="17145" b="6350"/>
            <wp:docPr id="24" name="图片 24" descr="K for PSF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K for PSFCH"/>
                    <pic:cNvPicPr>
                      <a:picLocks noChangeAspect="1"/>
                    </pic:cNvPicPr>
                  </pic:nvPicPr>
                  <pic:blipFill>
                    <a:blip r:embed="rId16" cstate="print"/>
                    <a:srcRect t="5408"/>
                    <a:stretch>
                      <a:fillRect/>
                    </a:stretch>
                  </pic:blipFill>
                  <pic:spPr>
                    <a:xfrm>
                      <a:off x="0" y="0"/>
                      <a:ext cx="4154805" cy="1155065"/>
                    </a:xfrm>
                    <a:prstGeom prst="rect">
                      <a:avLst/>
                    </a:prstGeom>
                  </pic:spPr>
                </pic:pic>
              </a:graphicData>
            </a:graphic>
          </wp:inline>
        </w:drawing>
      </w:r>
    </w:p>
    <w:p w:rsidR="00096470" w:rsidRDefault="00562CE6">
      <w:pPr>
        <w:pStyle w:val="Caption"/>
        <w:numPr>
          <w:ilvl w:val="255"/>
          <w:numId w:val="0"/>
        </w:numPr>
        <w:tabs>
          <w:tab w:val="left" w:pos="0"/>
        </w:tabs>
        <w:jc w:val="center"/>
        <w:rPr>
          <w:rFonts w:ascii="Calibri" w:hAnsi="Calibri" w:cs="Calibri"/>
          <w:b w:val="0"/>
          <w:bCs/>
          <w:sz w:val="20"/>
        </w:rPr>
      </w:pPr>
      <w:bookmarkStart w:id="209" w:name="_Ref4716"/>
      <w:r>
        <w:rPr>
          <w:b w:val="0"/>
          <w:bCs/>
          <w:sz w:val="20"/>
        </w:rPr>
        <w:t xml:space="preserve">Figure </w:t>
      </w:r>
      <w:r w:rsidR="00985DD6">
        <w:rPr>
          <w:b w:val="0"/>
          <w:bCs/>
          <w:sz w:val="20"/>
        </w:rPr>
        <w:fldChar w:fldCharType="begin"/>
      </w:r>
      <w:r>
        <w:rPr>
          <w:b w:val="0"/>
          <w:bCs/>
          <w:sz w:val="20"/>
        </w:rPr>
        <w:instrText xml:space="preserve"> SEQ Figure \* ARABIC </w:instrText>
      </w:r>
      <w:r w:rsidR="00985DD6">
        <w:rPr>
          <w:b w:val="0"/>
          <w:bCs/>
          <w:sz w:val="20"/>
        </w:rPr>
        <w:fldChar w:fldCharType="separate"/>
      </w:r>
      <w:r w:rsidR="003D7824">
        <w:rPr>
          <w:b w:val="0"/>
          <w:bCs/>
          <w:noProof/>
          <w:sz w:val="20"/>
        </w:rPr>
        <w:t>9</w:t>
      </w:r>
      <w:r w:rsidR="00985DD6">
        <w:rPr>
          <w:b w:val="0"/>
          <w:bCs/>
          <w:sz w:val="20"/>
        </w:rPr>
        <w:fldChar w:fldCharType="end"/>
      </w:r>
      <w:bookmarkEnd w:id="209"/>
      <w:r>
        <w:rPr>
          <w:rFonts w:hint="eastAsia"/>
          <w:b w:val="0"/>
          <w:bCs/>
          <w:sz w:val="20"/>
        </w:rPr>
        <w:t xml:space="preserve"> Time gap between PSSCH and PSFCH</w:t>
      </w:r>
    </w:p>
    <w:p w:rsidR="00096470" w:rsidRDefault="00562CE6">
      <w:pPr>
        <w:pStyle w:val="YJ-Proposal"/>
        <w:spacing w:before="120" w:after="120"/>
        <w:rPr>
          <w:lang w:val="en-US" w:eastAsia="zh-CN"/>
        </w:rPr>
      </w:pPr>
      <w:bookmarkStart w:id="210" w:name="_Toc20774581"/>
      <w:r>
        <w:rPr>
          <w:rFonts w:hint="eastAsia"/>
          <w:szCs w:val="22"/>
          <w:lang w:val="en-US" w:eastAsia="zh-CN"/>
        </w:rPr>
        <w:t xml:space="preserve">The </w:t>
      </w:r>
      <w:r>
        <w:rPr>
          <w:rFonts w:hint="eastAsia"/>
          <w:szCs w:val="22"/>
          <w:lang w:val="en-US"/>
        </w:rPr>
        <w:t>PSSCH-to-HARQ feedback timing</w:t>
      </w:r>
      <w:r>
        <w:rPr>
          <w:rFonts w:hint="eastAsia"/>
          <w:szCs w:val="22"/>
          <w:lang w:val="en-US" w:eastAsia="zh-CN"/>
        </w:rPr>
        <w:t xml:space="preserve"> K is the number of physical slots.</w:t>
      </w:r>
      <w:bookmarkEnd w:id="202"/>
      <w:bookmarkEnd w:id="203"/>
      <w:bookmarkEnd w:id="204"/>
      <w:bookmarkEnd w:id="205"/>
      <w:bookmarkEnd w:id="206"/>
      <w:bookmarkEnd w:id="207"/>
      <w:bookmarkEnd w:id="210"/>
    </w:p>
    <w:p w:rsidR="00096470" w:rsidRDefault="00562CE6">
      <w:pPr>
        <w:pStyle w:val="Heading1"/>
        <w:pBdr>
          <w:top w:val="none" w:sz="0" w:space="1" w:color="auto"/>
          <w:left w:val="none" w:sz="0" w:space="4" w:color="auto"/>
          <w:bottom w:val="none" w:sz="0" w:space="1" w:color="auto"/>
          <w:right w:val="none" w:sz="0" w:space="4" w:color="auto"/>
        </w:pBdr>
        <w:spacing w:before="120" w:after="120"/>
        <w:ind w:left="0"/>
        <w:rPr>
          <w:szCs w:val="22"/>
        </w:rPr>
      </w:pPr>
      <w:r>
        <w:rPr>
          <w:rFonts w:hint="eastAsia"/>
          <w:szCs w:val="22"/>
        </w:rPr>
        <w:t xml:space="preserve">SCI format </w:t>
      </w:r>
      <w:bookmarkEnd w:id="183"/>
    </w:p>
    <w:p w:rsidR="00096470" w:rsidRDefault="00562CE6">
      <w:pPr>
        <w:pStyle w:val="Heading2"/>
        <w:spacing w:before="120" w:after="120"/>
        <w:ind w:left="991" w:right="210" w:hangingChars="354" w:hanging="991"/>
        <w:rPr>
          <w:szCs w:val="22"/>
        </w:rPr>
      </w:pPr>
      <w:r>
        <w:rPr>
          <w:rFonts w:hint="eastAsia"/>
          <w:szCs w:val="22"/>
        </w:rPr>
        <w:t>PSSCH resource Indication</w:t>
      </w:r>
    </w:p>
    <w:p w:rsidR="00096470" w:rsidRDefault="00562CE6">
      <w:pPr>
        <w:spacing w:before="120" w:after="120"/>
        <w:rPr>
          <w:sz w:val="20"/>
        </w:rPr>
      </w:pPr>
      <w:r>
        <w:rPr>
          <w:rFonts w:hint="eastAsia"/>
          <w:szCs w:val="22"/>
        </w:rPr>
        <w:t>A</w:t>
      </w:r>
      <w:r>
        <w:rPr>
          <w:rFonts w:hint="eastAsia"/>
          <w:sz w:val="20"/>
        </w:rPr>
        <w:t xml:space="preserve"> major indication item in SCI is the resource allocation of PSSCH, including the initial transmission and potential retransmission resources. The different indication scheme may have various resource allocation effect and overhead, some further analyses for assign PSSCH resources are presented below.</w:t>
      </w:r>
    </w:p>
    <w:p w:rsidR="00096470" w:rsidRDefault="00562CE6">
      <w:pPr>
        <w:pStyle w:val="Heading3"/>
        <w:spacing w:after="120"/>
        <w:ind w:right="210"/>
        <w:rPr>
          <w:szCs w:val="22"/>
        </w:rPr>
      </w:pPr>
      <w:r>
        <w:rPr>
          <w:rFonts w:eastAsia="SimSun" w:hint="eastAsia"/>
          <w:szCs w:val="22"/>
        </w:rPr>
        <w:t>Frequency domain resource indication</w:t>
      </w:r>
    </w:p>
    <w:p w:rsidR="00096470" w:rsidRDefault="00562CE6">
      <w:pPr>
        <w:spacing w:before="120" w:after="120"/>
        <w:rPr>
          <w:sz w:val="20"/>
        </w:rPr>
      </w:pPr>
      <w:r>
        <w:rPr>
          <w:rFonts w:hint="eastAsia"/>
          <w:sz w:val="20"/>
        </w:rPr>
        <w:t>It is agreed that the transmission of PSSCH is mapped onto contiguous PRBs. Using the starting sub-channel and number of sub-channel(s), the PSSCH frequency resources can be determined.</w:t>
      </w:r>
    </w:p>
    <w:p w:rsidR="00096470" w:rsidRDefault="00562CE6">
      <w:pPr>
        <w:spacing w:before="120" w:after="120"/>
        <w:rPr>
          <w:sz w:val="20"/>
        </w:rPr>
      </w:pPr>
      <w:r>
        <w:rPr>
          <w:rFonts w:hint="eastAsia"/>
          <w:sz w:val="20"/>
        </w:rPr>
        <w:t xml:space="preserve">For current slot PSSCH transmission, as there is a consensus that the frequency resources of PSCCH and relevant PSSCH in a slot should have a fixed mapping relation, such as using same start RB. Therefore, the PSSCH </w:t>
      </w:r>
      <w:r>
        <w:rPr>
          <w:rFonts w:hint="eastAsia"/>
          <w:sz w:val="20"/>
        </w:rPr>
        <w:lastRenderedPageBreak/>
        <w:t xml:space="preserve">sub-channel(s) allocation can be indicated directly by the number of sub-channels used for PSSCH while the starting sub-channel can be implicitly determined according the PSCCH position. </w:t>
      </w:r>
    </w:p>
    <w:p w:rsidR="00096470" w:rsidRDefault="00562CE6">
      <w:pPr>
        <w:pStyle w:val="YJ-Proposal"/>
        <w:spacing w:before="120" w:after="120"/>
        <w:rPr>
          <w:lang w:val="en-US" w:eastAsia="zh-CN"/>
        </w:rPr>
      </w:pPr>
      <w:bookmarkStart w:id="211" w:name="_Toc28590"/>
      <w:bookmarkStart w:id="212" w:name="_Toc8429"/>
      <w:bookmarkStart w:id="213" w:name="_Toc15253"/>
      <w:bookmarkStart w:id="214" w:name="_Toc16516"/>
      <w:bookmarkStart w:id="215" w:name="_Toc22296"/>
      <w:bookmarkStart w:id="216" w:name="_Toc20774582"/>
      <w:r>
        <w:rPr>
          <w:rFonts w:hint="eastAsia"/>
          <w:szCs w:val="22"/>
          <w:lang w:val="en-US" w:eastAsia="zh-CN"/>
        </w:rPr>
        <w:t>The number of sub-channels used for PSSCH should be indicated in SCI.</w:t>
      </w:r>
      <w:bookmarkEnd w:id="211"/>
      <w:bookmarkEnd w:id="212"/>
      <w:bookmarkEnd w:id="213"/>
      <w:bookmarkEnd w:id="214"/>
      <w:bookmarkEnd w:id="215"/>
      <w:bookmarkEnd w:id="216"/>
      <w:r>
        <w:rPr>
          <w:rFonts w:hint="eastAsia"/>
          <w:szCs w:val="22"/>
          <w:lang w:val="en-US" w:eastAsia="zh-CN"/>
        </w:rPr>
        <w:t xml:space="preserve"> </w:t>
      </w:r>
    </w:p>
    <w:p w:rsidR="00096470" w:rsidRDefault="00562CE6">
      <w:pPr>
        <w:spacing w:before="120" w:after="120"/>
        <w:rPr>
          <w:sz w:val="20"/>
        </w:rPr>
      </w:pPr>
      <w:r>
        <w:rPr>
          <w:rFonts w:hint="eastAsia"/>
          <w:sz w:val="20"/>
        </w:rPr>
        <w:t xml:space="preserve">Considering the case that TB retransmission(s) is assigned, the PSSCH resources for retransmission should be indicated in current SCI. It is not determined whether chain or look-ahead reservation for PSSCH retransmission resources should be used, where the chain reservation means only the next retransmission resource is indicated in current SCI while the look-ahead reservation scheme indicates all the following retransmission resources in current SCI. </w:t>
      </w:r>
    </w:p>
    <w:p w:rsidR="00096470" w:rsidRDefault="00562CE6">
      <w:pPr>
        <w:spacing w:before="120" w:after="120"/>
        <w:rPr>
          <w:sz w:val="20"/>
        </w:rPr>
      </w:pPr>
      <w:r>
        <w:rPr>
          <w:rFonts w:hint="eastAsia"/>
          <w:sz w:val="20"/>
        </w:rPr>
        <w:t xml:space="preserve">For this issue, we prefer the chain reservation scheme which can be used for any times of retransmission and provides more flexibility on retransmission resources allocation. Besides, the legacy retransmission resource indication scheme can be reused, the overhead as following: </w:t>
      </w:r>
    </w:p>
    <w:p w:rsidR="00096470" w:rsidRDefault="00562CE6">
      <w:pPr>
        <w:spacing w:before="120" w:after="120"/>
        <w:textAlignment w:val="center"/>
        <w:rPr>
          <w:sz w:val="20"/>
        </w:rPr>
      </w:pPr>
      <w:r w:rsidRPr="00985DD6">
        <w:rPr>
          <w:rFonts w:hint="eastAsia"/>
          <w:sz w:val="20"/>
        </w:rPr>
        <w:object w:dxaOrig="2801" w:dyaOrig="4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25pt;height:20.25pt" o:ole="">
            <v:imagedata r:id="rId17" o:title=""/>
          </v:shape>
          <o:OLEObject Type="Embed" ProgID="Equation.3" ShapeID="_x0000_i1025" DrawAspect="Content" ObjectID="_1631387344" r:id="rId18"/>
        </w:object>
      </w:r>
      <w:r>
        <w:rPr>
          <w:rFonts w:hint="eastAsia"/>
          <w:sz w:val="20"/>
        </w:rPr>
        <w:t>,</w:t>
      </w:r>
    </w:p>
    <w:p w:rsidR="00096470" w:rsidRDefault="00562CE6">
      <w:pPr>
        <w:spacing w:before="120" w:after="120"/>
        <w:textAlignment w:val="center"/>
        <w:rPr>
          <w:sz w:val="20"/>
        </w:rPr>
      </w:pPr>
      <w:r>
        <w:rPr>
          <w:rFonts w:hint="eastAsia"/>
          <w:sz w:val="20"/>
        </w:rPr>
        <w:t xml:space="preserve">where </w:t>
      </w:r>
      <w:r>
        <w:rPr>
          <w:rFonts w:hint="eastAsia"/>
          <w:noProof/>
          <w:sz w:val="20"/>
        </w:rPr>
        <w:drawing>
          <wp:inline distT="0" distB="0" distL="114300" distR="114300">
            <wp:extent cx="552450" cy="238125"/>
            <wp:effectExtent l="0" t="0" r="0" b="8255"/>
            <wp:docPr id="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1"/>
                    <pic:cNvPicPr>
                      <a:picLocks noChangeAspect="1"/>
                    </pic:cNvPicPr>
                  </pic:nvPicPr>
                  <pic:blipFill>
                    <a:blip r:embed="rId19" cstate="print"/>
                    <a:stretch>
                      <a:fillRect/>
                    </a:stretch>
                  </pic:blipFill>
                  <pic:spPr>
                    <a:xfrm>
                      <a:off x="0" y="0"/>
                      <a:ext cx="552450" cy="238125"/>
                    </a:xfrm>
                    <a:prstGeom prst="rect">
                      <a:avLst/>
                    </a:prstGeom>
                    <a:noFill/>
                    <a:ln w="9525">
                      <a:noFill/>
                    </a:ln>
                  </pic:spPr>
                </pic:pic>
              </a:graphicData>
            </a:graphic>
          </wp:inline>
        </w:drawing>
      </w:r>
      <w:r>
        <w:rPr>
          <w:rFonts w:hint="eastAsia"/>
          <w:sz w:val="20"/>
        </w:rPr>
        <w:t xml:space="preserve"> is the total number of sub-channels assigned in the resource pool.</w:t>
      </w:r>
    </w:p>
    <w:p w:rsidR="00096470" w:rsidRDefault="00562CE6">
      <w:pPr>
        <w:spacing w:before="120" w:after="120"/>
        <w:rPr>
          <w:sz w:val="20"/>
        </w:rPr>
      </w:pPr>
      <w:r>
        <w:rPr>
          <w:rFonts w:hint="eastAsia"/>
          <w:sz w:val="20"/>
        </w:rPr>
        <w:t xml:space="preserve">The above indication scheme can indicate the index of a start sub-channel of retransmission and the number of the assigned sub-channels with a minimum indication overhead. </w:t>
      </w:r>
    </w:p>
    <w:p w:rsidR="00096470" w:rsidRDefault="00562CE6">
      <w:pPr>
        <w:pStyle w:val="YJ-Proposal"/>
        <w:spacing w:before="120" w:after="120"/>
        <w:rPr>
          <w:lang w:val="en-US" w:eastAsia="zh-CN"/>
        </w:rPr>
      </w:pPr>
      <w:bookmarkStart w:id="217" w:name="_Toc943"/>
      <w:bookmarkStart w:id="218" w:name="_Toc26224"/>
      <w:bookmarkStart w:id="219" w:name="_Toc20027"/>
      <w:bookmarkStart w:id="220" w:name="_Toc28218"/>
      <w:bookmarkStart w:id="221" w:name="_Toc16232"/>
      <w:bookmarkStart w:id="222" w:name="_Toc20774583"/>
      <w:r>
        <w:rPr>
          <w:rFonts w:hint="eastAsia"/>
          <w:lang w:val="en-US" w:eastAsia="zh-CN"/>
        </w:rPr>
        <w:t>Reuse the Rel-15 frequency resource indication scheme of initial transmission and retransmission for PSSCH.</w:t>
      </w:r>
      <w:bookmarkEnd w:id="217"/>
      <w:bookmarkEnd w:id="218"/>
      <w:bookmarkEnd w:id="219"/>
      <w:bookmarkEnd w:id="220"/>
      <w:bookmarkEnd w:id="221"/>
      <w:bookmarkEnd w:id="222"/>
    </w:p>
    <w:p w:rsidR="00096470" w:rsidRDefault="00562CE6">
      <w:pPr>
        <w:pStyle w:val="Heading3"/>
        <w:spacing w:after="120"/>
        <w:ind w:right="210"/>
        <w:rPr>
          <w:szCs w:val="22"/>
        </w:rPr>
      </w:pPr>
      <w:r>
        <w:rPr>
          <w:rFonts w:eastAsia="SimSun" w:hint="eastAsia"/>
          <w:szCs w:val="22"/>
        </w:rPr>
        <w:t>Time domain resource indication</w:t>
      </w:r>
    </w:p>
    <w:p w:rsidR="00096470" w:rsidRDefault="00562CE6">
      <w:pPr>
        <w:spacing w:before="120" w:after="120"/>
        <w:rPr>
          <w:sz w:val="20"/>
        </w:rPr>
      </w:pPr>
      <w:r>
        <w:rPr>
          <w:rFonts w:hint="eastAsia"/>
          <w:sz w:val="20"/>
        </w:rPr>
        <w:t xml:space="preserve">On current slot, as the symbols used as PSSCH resource can be determined according to resource pool configuration and the multiplexing structure of sidelink channels, no time domain resource indication of PSSCH is needed in SCI. Similar as the frequency resource indication, the main concern is focus on the retransmission resource indication. </w:t>
      </w:r>
    </w:p>
    <w:p w:rsidR="00096470" w:rsidRDefault="00562CE6">
      <w:pPr>
        <w:spacing w:before="120" w:after="120"/>
        <w:rPr>
          <w:sz w:val="20"/>
        </w:rPr>
      </w:pPr>
      <w:r>
        <w:rPr>
          <w:rFonts w:hint="eastAsia"/>
          <w:sz w:val="20"/>
        </w:rPr>
        <w:t>By using chain resource reservation scheme, as only the next one retransmission should be indicated, a constant overhead can be defined in SCI. In detail, the indicator of retransmission can indicate the slot interval between current slot and the retransmission. Furthermore, in order to achieve higher flexibility and larger time range for retransmission, the indicator can be associated to a slot interval indication table which is configurable according to requirements.</w:t>
      </w:r>
    </w:p>
    <w:p w:rsidR="00096470" w:rsidRDefault="00562CE6">
      <w:pPr>
        <w:spacing w:before="120" w:after="120"/>
        <w:rPr>
          <w:sz w:val="20"/>
        </w:rPr>
      </w:pPr>
      <w:r>
        <w:rPr>
          <w:rFonts w:hint="eastAsia"/>
          <w:sz w:val="20"/>
        </w:rPr>
        <w:t>On the other hand, for look-ahead reservation scheme, the retransmission indication overhead is varied and multiplies along with the more times retransmissions are performed, except the case that all retransmissions with equal slot interval. In fact, since the slots included in sidelink resource pool are discrete, it is hard to ensure an equal slots interval between every two transmissions.</w:t>
      </w:r>
    </w:p>
    <w:p w:rsidR="00096470" w:rsidRDefault="00562CE6">
      <w:pPr>
        <w:spacing w:before="120" w:after="120"/>
        <w:rPr>
          <w:sz w:val="20"/>
        </w:rPr>
      </w:pPr>
      <w:r>
        <w:rPr>
          <w:rFonts w:hint="eastAsia"/>
          <w:sz w:val="20"/>
        </w:rPr>
        <w:t>Considering the issues analyzed above, we propose:</w:t>
      </w:r>
    </w:p>
    <w:p w:rsidR="00096470" w:rsidRDefault="00562CE6">
      <w:pPr>
        <w:pStyle w:val="YJ-Proposal"/>
        <w:spacing w:before="120" w:after="120"/>
        <w:rPr>
          <w:lang w:val="en-US" w:eastAsia="zh-CN"/>
        </w:rPr>
      </w:pPr>
      <w:bookmarkStart w:id="223" w:name="_Toc32750"/>
      <w:bookmarkStart w:id="224" w:name="_Toc3654"/>
      <w:bookmarkStart w:id="225" w:name="_Toc13486"/>
      <w:bookmarkStart w:id="226" w:name="_Toc19820"/>
      <w:bookmarkStart w:id="227" w:name="_Toc27060"/>
      <w:bookmarkStart w:id="228" w:name="_Toc20774584"/>
      <w:r>
        <w:rPr>
          <w:rFonts w:hint="eastAsia"/>
          <w:szCs w:val="22"/>
          <w:lang w:val="en-US" w:eastAsia="zh-CN"/>
        </w:rPr>
        <w:t>Support chain resource reservation scheme and the interval between current slot and next retransmission slot should be indicated in SCI.</w:t>
      </w:r>
      <w:bookmarkEnd w:id="223"/>
      <w:bookmarkEnd w:id="224"/>
      <w:bookmarkEnd w:id="225"/>
      <w:bookmarkEnd w:id="226"/>
      <w:bookmarkEnd w:id="227"/>
      <w:bookmarkEnd w:id="228"/>
      <w:r>
        <w:rPr>
          <w:rFonts w:hint="eastAsia"/>
          <w:szCs w:val="22"/>
          <w:lang w:val="en-US" w:eastAsia="zh-CN"/>
        </w:rPr>
        <w:t xml:space="preserve"> </w:t>
      </w:r>
    </w:p>
    <w:p w:rsidR="00096470" w:rsidRDefault="00562CE6">
      <w:pPr>
        <w:pStyle w:val="Heading2"/>
        <w:spacing w:before="120" w:after="120"/>
        <w:ind w:left="991" w:right="210" w:hangingChars="354" w:hanging="991"/>
        <w:rPr>
          <w:szCs w:val="22"/>
        </w:rPr>
      </w:pPr>
      <w:r>
        <w:rPr>
          <w:rFonts w:hint="eastAsia"/>
          <w:szCs w:val="22"/>
        </w:rPr>
        <w:t>SCI format</w:t>
      </w:r>
    </w:p>
    <w:p w:rsidR="00096470" w:rsidRDefault="00562CE6">
      <w:pPr>
        <w:spacing w:before="120" w:after="120"/>
        <w:rPr>
          <w:sz w:val="20"/>
        </w:rPr>
      </w:pPr>
      <w:r>
        <w:rPr>
          <w:rFonts w:hint="eastAsia"/>
          <w:sz w:val="20"/>
        </w:rPr>
        <w:t>According to agreement in #98 meeting, 2-stage SCI is supported and the 1</w:t>
      </w:r>
      <w:r>
        <w:rPr>
          <w:rFonts w:hint="eastAsia"/>
          <w:sz w:val="20"/>
          <w:vertAlign w:val="superscript"/>
        </w:rPr>
        <w:t>st</w:t>
      </w:r>
      <w:r>
        <w:rPr>
          <w:rFonts w:hint="eastAsia"/>
          <w:sz w:val="20"/>
        </w:rPr>
        <w:t xml:space="preserve"> SCI is carried in PSCCH. The previous agreement of 2-stage SCI also requires:</w:t>
      </w:r>
    </w:p>
    <w:p w:rsidR="00096470" w:rsidRDefault="00562CE6">
      <w:pPr>
        <w:pStyle w:val="Style1"/>
        <w:numPr>
          <w:ilvl w:val="0"/>
          <w:numId w:val="10"/>
        </w:numPr>
        <w:spacing w:before="120" w:after="120" w:line="360" w:lineRule="auto"/>
        <w:rPr>
          <w:rFonts w:eastAsia="DengXian"/>
          <w:i/>
          <w:iCs/>
          <w:sz w:val="20"/>
          <w:lang w:eastAsia="ko-KR"/>
        </w:rPr>
      </w:pPr>
      <w:r>
        <w:rPr>
          <w:rFonts w:eastAsia="DengXian"/>
          <w:i/>
          <w:iCs/>
          <w:sz w:val="20"/>
          <w:lang w:eastAsia="ko-KR"/>
        </w:rPr>
        <w:t>If two-stage SCI is supported, the following details are used.</w:t>
      </w:r>
    </w:p>
    <w:p w:rsidR="00096470" w:rsidRDefault="00562CE6">
      <w:pPr>
        <w:pStyle w:val="Style1"/>
        <w:numPr>
          <w:ilvl w:val="1"/>
          <w:numId w:val="10"/>
        </w:numPr>
        <w:spacing w:before="120" w:after="120" w:afterAutospacing="0" w:line="240" w:lineRule="auto"/>
        <w:ind w:left="1446" w:hanging="363"/>
        <w:rPr>
          <w:rFonts w:eastAsia="DengXian"/>
          <w:i/>
          <w:iCs/>
          <w:sz w:val="20"/>
          <w:szCs w:val="22"/>
          <w:lang w:eastAsia="ko-KR"/>
        </w:rPr>
      </w:pPr>
      <w:r>
        <w:rPr>
          <w:rFonts w:eastAsia="DengXian"/>
          <w:i/>
          <w:iCs/>
          <w:sz w:val="20"/>
          <w:szCs w:val="22"/>
          <w:lang w:eastAsia="ko-KR"/>
        </w:rPr>
        <w:t>Information related to channel sensing is carried on 1st-stage.</w:t>
      </w:r>
    </w:p>
    <w:p w:rsidR="00096470" w:rsidRDefault="00562CE6">
      <w:pPr>
        <w:pStyle w:val="Style1"/>
        <w:numPr>
          <w:ilvl w:val="1"/>
          <w:numId w:val="10"/>
        </w:numPr>
        <w:spacing w:before="120" w:after="120" w:afterAutospacing="0" w:line="240" w:lineRule="auto"/>
        <w:ind w:left="1446" w:hanging="363"/>
        <w:rPr>
          <w:rFonts w:eastAsia="DengXian"/>
          <w:i/>
          <w:iCs/>
          <w:sz w:val="20"/>
          <w:szCs w:val="22"/>
          <w:lang w:eastAsia="ko-KR"/>
        </w:rPr>
      </w:pPr>
      <w:r>
        <w:rPr>
          <w:rFonts w:eastAsia="DengXian"/>
          <w:i/>
          <w:iCs/>
          <w:sz w:val="20"/>
          <w:szCs w:val="22"/>
          <w:lang w:eastAsia="ko-KR"/>
        </w:rPr>
        <w:t>2nd-stage is decoded by using PSSCH DMRS.</w:t>
      </w:r>
    </w:p>
    <w:p w:rsidR="00096470" w:rsidRDefault="00562CE6">
      <w:pPr>
        <w:pStyle w:val="Style1"/>
        <w:numPr>
          <w:ilvl w:val="1"/>
          <w:numId w:val="10"/>
        </w:numPr>
        <w:spacing w:before="120" w:after="120" w:afterAutospacing="0" w:line="240" w:lineRule="auto"/>
        <w:ind w:left="1446" w:hanging="363"/>
        <w:rPr>
          <w:rFonts w:eastAsia="DengXian"/>
          <w:i/>
          <w:iCs/>
          <w:sz w:val="20"/>
          <w:szCs w:val="22"/>
          <w:lang w:eastAsia="ko-KR"/>
        </w:rPr>
      </w:pPr>
      <w:r>
        <w:rPr>
          <w:rFonts w:eastAsia="DengXian"/>
          <w:i/>
          <w:iCs/>
          <w:sz w:val="20"/>
          <w:szCs w:val="22"/>
          <w:lang w:eastAsia="ko-KR"/>
        </w:rPr>
        <w:t>Polar coding used for PDCCH is applied to 2nd-stage</w:t>
      </w:r>
    </w:p>
    <w:p w:rsidR="00096470" w:rsidRDefault="00562CE6">
      <w:pPr>
        <w:pStyle w:val="Style1"/>
        <w:numPr>
          <w:ilvl w:val="1"/>
          <w:numId w:val="10"/>
        </w:numPr>
        <w:spacing w:before="120" w:after="120" w:afterAutospacing="0" w:line="240" w:lineRule="auto"/>
        <w:ind w:left="1446" w:hanging="363"/>
        <w:rPr>
          <w:rFonts w:eastAsia="DengXian"/>
          <w:i/>
          <w:iCs/>
          <w:sz w:val="20"/>
          <w:szCs w:val="22"/>
          <w:lang w:eastAsia="ko-KR"/>
        </w:rPr>
      </w:pPr>
      <w:r>
        <w:rPr>
          <w:rFonts w:eastAsia="DengXian"/>
          <w:i/>
          <w:iCs/>
          <w:sz w:val="20"/>
          <w:szCs w:val="22"/>
          <w:lang w:eastAsia="ko-KR"/>
        </w:rPr>
        <w:t xml:space="preserve">Payload size for 1st-stage in two-stage SCI case </w:t>
      </w:r>
      <w:r>
        <w:rPr>
          <w:rFonts w:eastAsia="DengXian"/>
          <w:i/>
          <w:iCs/>
          <w:sz w:val="20"/>
          <w:lang w:eastAsia="ko-KR"/>
        </w:rPr>
        <w:t>is the same for unicast, groupcast, and broadcast in a resource pool.</w:t>
      </w:r>
    </w:p>
    <w:p w:rsidR="00096470" w:rsidRDefault="00562CE6">
      <w:pPr>
        <w:pStyle w:val="Style1"/>
        <w:numPr>
          <w:ilvl w:val="1"/>
          <w:numId w:val="10"/>
        </w:numPr>
        <w:spacing w:before="120" w:after="120" w:afterAutospacing="0" w:line="240" w:lineRule="auto"/>
        <w:ind w:left="1446" w:hanging="363"/>
        <w:rPr>
          <w:rFonts w:eastAsia="DengXian"/>
          <w:i/>
          <w:iCs/>
          <w:sz w:val="20"/>
          <w:szCs w:val="22"/>
          <w:lang w:eastAsia="ko-KR"/>
        </w:rPr>
      </w:pPr>
      <w:r>
        <w:rPr>
          <w:rFonts w:eastAsia="DengXian"/>
          <w:i/>
          <w:iCs/>
          <w:sz w:val="20"/>
          <w:szCs w:val="22"/>
          <w:lang w:eastAsia="ko-KR"/>
        </w:rPr>
        <w:t>After decoding the 1st-stage, the receiver does not need to perform blind decoding of 2nd-stage.</w:t>
      </w:r>
    </w:p>
    <w:p w:rsidR="00096470" w:rsidRDefault="00562CE6">
      <w:pPr>
        <w:spacing w:before="120" w:after="120"/>
        <w:rPr>
          <w:sz w:val="20"/>
        </w:rPr>
      </w:pPr>
      <w:r>
        <w:rPr>
          <w:rFonts w:hint="eastAsia"/>
          <w:sz w:val="20"/>
        </w:rPr>
        <w:lastRenderedPageBreak/>
        <w:t>It requires same size of 1</w:t>
      </w:r>
      <w:r>
        <w:rPr>
          <w:rFonts w:hint="eastAsia"/>
          <w:sz w:val="20"/>
          <w:vertAlign w:val="superscript"/>
        </w:rPr>
        <w:t>st</w:t>
      </w:r>
      <w:r>
        <w:rPr>
          <w:rFonts w:hint="eastAsia"/>
          <w:sz w:val="20"/>
        </w:rPr>
        <w:t xml:space="preserve"> SCI for all cast types and the </w:t>
      </w:r>
      <w:r w:rsidR="006C2EDC">
        <w:rPr>
          <w:sz w:val="20"/>
        </w:rPr>
        <w:t xml:space="preserve">sensing </w:t>
      </w:r>
      <w:r>
        <w:rPr>
          <w:rFonts w:hint="eastAsia"/>
          <w:sz w:val="20"/>
        </w:rPr>
        <w:t>information should be indicated in 1</w:t>
      </w:r>
      <w:r>
        <w:rPr>
          <w:rFonts w:hint="eastAsia"/>
          <w:sz w:val="20"/>
          <w:vertAlign w:val="superscript"/>
        </w:rPr>
        <w:t>st</w:t>
      </w:r>
      <w:r>
        <w:rPr>
          <w:rFonts w:hint="eastAsia"/>
          <w:sz w:val="20"/>
        </w:rPr>
        <w:t xml:space="preserve"> SCI</w:t>
      </w:r>
      <w:r w:rsidR="006C2EDC">
        <w:rPr>
          <w:rFonts w:hint="eastAsia"/>
          <w:sz w:val="20"/>
        </w:rPr>
        <w:t>.</w:t>
      </w:r>
      <w:r>
        <w:rPr>
          <w:rFonts w:hint="eastAsia"/>
          <w:sz w:val="20"/>
        </w:rPr>
        <w:t xml:space="preserve"> </w:t>
      </w:r>
      <w:r w:rsidR="006C2EDC">
        <w:rPr>
          <w:rFonts w:hint="eastAsia"/>
          <w:sz w:val="20"/>
        </w:rPr>
        <w:t>T</w:t>
      </w:r>
      <w:r>
        <w:rPr>
          <w:rFonts w:hint="eastAsia"/>
          <w:sz w:val="20"/>
        </w:rPr>
        <w:t>he candidate contents of 1</w:t>
      </w:r>
      <w:r>
        <w:rPr>
          <w:rFonts w:hint="eastAsia"/>
          <w:sz w:val="20"/>
          <w:vertAlign w:val="superscript"/>
        </w:rPr>
        <w:t>st</w:t>
      </w:r>
      <w:r>
        <w:rPr>
          <w:rFonts w:hint="eastAsia"/>
          <w:sz w:val="20"/>
        </w:rPr>
        <w:t xml:space="preserve"> SCI are listed in </w:t>
      </w:r>
      <w:r w:rsidR="00985DD6">
        <w:rPr>
          <w:rFonts w:hint="eastAsia"/>
          <w:sz w:val="20"/>
        </w:rPr>
        <w:fldChar w:fldCharType="begin"/>
      </w:r>
      <w:r>
        <w:rPr>
          <w:rFonts w:hint="eastAsia"/>
          <w:sz w:val="20"/>
        </w:rPr>
        <w:instrText xml:space="preserve"> REF _Ref16473 \h </w:instrText>
      </w:r>
      <w:r w:rsidR="00985DD6">
        <w:rPr>
          <w:rFonts w:hint="eastAsia"/>
          <w:sz w:val="20"/>
        </w:rPr>
      </w:r>
      <w:r w:rsidR="00985DD6">
        <w:rPr>
          <w:rFonts w:hint="eastAsia"/>
          <w:sz w:val="20"/>
        </w:rPr>
        <w:fldChar w:fldCharType="separate"/>
      </w:r>
      <w:r w:rsidR="003D7824">
        <w:rPr>
          <w:b/>
          <w:bCs/>
          <w:sz w:val="20"/>
        </w:rPr>
        <w:t xml:space="preserve">Table </w:t>
      </w:r>
      <w:r w:rsidR="003D7824">
        <w:rPr>
          <w:b/>
          <w:bCs/>
          <w:noProof/>
          <w:sz w:val="20"/>
        </w:rPr>
        <w:t>1</w:t>
      </w:r>
      <w:r w:rsidR="00985DD6">
        <w:rPr>
          <w:rFonts w:hint="eastAsia"/>
          <w:sz w:val="20"/>
        </w:rPr>
        <w:fldChar w:fldCharType="end"/>
      </w:r>
      <w:r>
        <w:rPr>
          <w:rFonts w:hint="eastAsia"/>
          <w:sz w:val="20"/>
        </w:rPr>
        <w:t>.</w:t>
      </w:r>
    </w:p>
    <w:p w:rsidR="00096470" w:rsidRDefault="00562CE6">
      <w:pPr>
        <w:pStyle w:val="Caption"/>
        <w:jc w:val="center"/>
        <w:rPr>
          <w:b w:val="0"/>
          <w:bCs/>
          <w:sz w:val="20"/>
        </w:rPr>
      </w:pPr>
      <w:bookmarkStart w:id="229" w:name="_Ref16473"/>
      <w:r>
        <w:rPr>
          <w:b w:val="0"/>
          <w:bCs/>
          <w:sz w:val="20"/>
        </w:rPr>
        <w:t xml:space="preserve">Table </w:t>
      </w:r>
      <w:r w:rsidR="00985DD6">
        <w:rPr>
          <w:b w:val="0"/>
          <w:bCs/>
          <w:sz w:val="20"/>
        </w:rPr>
        <w:fldChar w:fldCharType="begin"/>
      </w:r>
      <w:r>
        <w:rPr>
          <w:b w:val="0"/>
          <w:bCs/>
          <w:sz w:val="20"/>
        </w:rPr>
        <w:instrText xml:space="preserve"> SEQ Table \* ARABIC </w:instrText>
      </w:r>
      <w:r w:rsidR="00985DD6">
        <w:rPr>
          <w:b w:val="0"/>
          <w:bCs/>
          <w:sz w:val="20"/>
        </w:rPr>
        <w:fldChar w:fldCharType="separate"/>
      </w:r>
      <w:r w:rsidR="003D7824">
        <w:rPr>
          <w:b w:val="0"/>
          <w:bCs/>
          <w:noProof/>
          <w:sz w:val="20"/>
        </w:rPr>
        <w:t>1</w:t>
      </w:r>
      <w:r w:rsidR="00985DD6">
        <w:rPr>
          <w:b w:val="0"/>
          <w:bCs/>
          <w:sz w:val="20"/>
        </w:rPr>
        <w:fldChar w:fldCharType="end"/>
      </w:r>
      <w:bookmarkEnd w:id="229"/>
      <w:r>
        <w:rPr>
          <w:rFonts w:hint="eastAsia"/>
          <w:b w:val="0"/>
          <w:bCs/>
          <w:sz w:val="20"/>
        </w:rPr>
        <w:t xml:space="preserve"> Content in 1</w:t>
      </w:r>
      <w:r>
        <w:rPr>
          <w:rFonts w:hint="eastAsia"/>
          <w:b w:val="0"/>
          <w:bCs/>
          <w:sz w:val="20"/>
          <w:vertAlign w:val="superscript"/>
        </w:rPr>
        <w:t>st</w:t>
      </w:r>
      <w:r>
        <w:rPr>
          <w:rFonts w:hint="eastAsia"/>
          <w:b w:val="0"/>
          <w:bCs/>
          <w:sz w:val="20"/>
        </w:rPr>
        <w:t xml:space="preserve"> SCI</w:t>
      </w:r>
    </w:p>
    <w:tbl>
      <w:tblPr>
        <w:tblStyle w:val="TableGrid"/>
        <w:tblW w:w="8418" w:type="dxa"/>
        <w:jc w:val="center"/>
        <w:tblLayout w:type="fixed"/>
        <w:tblLook w:val="04A0"/>
      </w:tblPr>
      <w:tblGrid>
        <w:gridCol w:w="5416"/>
        <w:gridCol w:w="3002"/>
      </w:tblGrid>
      <w:tr w:rsidR="00096470">
        <w:trPr>
          <w:jc w:val="center"/>
        </w:trPr>
        <w:tc>
          <w:tcPr>
            <w:tcW w:w="5416" w:type="dxa"/>
            <w:vAlign w:val="center"/>
          </w:tcPr>
          <w:p w:rsidR="00096470" w:rsidRDefault="00562CE6">
            <w:pPr>
              <w:widowControl/>
              <w:spacing w:beforeLines="0" w:afterLines="0" w:line="240" w:lineRule="auto"/>
              <w:jc w:val="center"/>
            </w:pPr>
            <w:r>
              <w:rPr>
                <w:b/>
                <w:bCs/>
                <w:sz w:val="20"/>
              </w:rPr>
              <w:t>Indication item</w:t>
            </w:r>
          </w:p>
        </w:tc>
        <w:tc>
          <w:tcPr>
            <w:tcW w:w="3002" w:type="dxa"/>
            <w:vAlign w:val="center"/>
          </w:tcPr>
          <w:p w:rsidR="00096470" w:rsidRDefault="00562CE6">
            <w:pPr>
              <w:widowControl/>
              <w:spacing w:beforeLines="0" w:afterLines="0" w:line="240" w:lineRule="auto"/>
              <w:jc w:val="center"/>
            </w:pPr>
            <w:r>
              <w:rPr>
                <w:b/>
                <w:bCs/>
                <w:sz w:val="20"/>
              </w:rPr>
              <w:t>overhead</w:t>
            </w:r>
          </w:p>
        </w:tc>
      </w:tr>
      <w:tr w:rsidR="00096470">
        <w:trPr>
          <w:jc w:val="center"/>
        </w:trPr>
        <w:tc>
          <w:tcPr>
            <w:tcW w:w="5416" w:type="dxa"/>
            <w:shd w:val="clear" w:color="auto" w:fill="auto"/>
          </w:tcPr>
          <w:p w:rsidR="00096470" w:rsidRDefault="00562CE6">
            <w:pPr>
              <w:widowControl/>
              <w:spacing w:beforeLines="0" w:afterLines="0" w:line="240" w:lineRule="auto"/>
              <w:jc w:val="distribute"/>
            </w:pPr>
            <w:r>
              <w:rPr>
                <w:sz w:val="20"/>
              </w:rPr>
              <w:t>Cast type indicator (broadcast/groupcast/unicast)</w:t>
            </w:r>
            <w:r>
              <w:rPr>
                <w:rFonts w:hint="eastAsia"/>
                <w:sz w:val="20"/>
              </w:rPr>
              <w:t xml:space="preserve">     </w:t>
            </w:r>
            <w:r>
              <w:rPr>
                <w:sz w:val="20"/>
              </w:rPr>
              <w:t xml:space="preserve"> </w:t>
            </w:r>
            <w:r>
              <w:rPr>
                <w:rFonts w:hint="eastAsia"/>
                <w:sz w:val="20"/>
              </w:rPr>
              <w:t>(TBD)</w:t>
            </w:r>
          </w:p>
        </w:tc>
        <w:tc>
          <w:tcPr>
            <w:tcW w:w="3002" w:type="dxa"/>
            <w:shd w:val="clear" w:color="auto" w:fill="auto"/>
          </w:tcPr>
          <w:p w:rsidR="00096470" w:rsidRDefault="00562CE6">
            <w:pPr>
              <w:widowControl/>
              <w:spacing w:beforeLines="0" w:afterLines="0" w:line="240" w:lineRule="auto"/>
              <w:jc w:val="center"/>
            </w:pPr>
            <w:r>
              <w:rPr>
                <w:sz w:val="20"/>
              </w:rPr>
              <w:t>1 or 2</w:t>
            </w:r>
          </w:p>
        </w:tc>
      </w:tr>
      <w:tr w:rsidR="00096470">
        <w:trPr>
          <w:jc w:val="center"/>
        </w:trPr>
        <w:tc>
          <w:tcPr>
            <w:tcW w:w="5416" w:type="dxa"/>
          </w:tcPr>
          <w:p w:rsidR="00096470" w:rsidRDefault="00562CE6">
            <w:pPr>
              <w:widowControl/>
              <w:spacing w:beforeLines="0" w:afterLines="0" w:line="240" w:lineRule="auto"/>
            </w:pPr>
            <w:r>
              <w:rPr>
                <w:sz w:val="20"/>
              </w:rPr>
              <w:t xml:space="preserve">Frequency resource for PSSCH </w:t>
            </w:r>
          </w:p>
        </w:tc>
        <w:tc>
          <w:tcPr>
            <w:tcW w:w="3002" w:type="dxa"/>
          </w:tcPr>
          <w:p w:rsidR="00096470" w:rsidRDefault="00562CE6">
            <w:pPr>
              <w:widowControl/>
              <w:spacing w:beforeLines="0" w:afterLines="0" w:line="240" w:lineRule="auto"/>
              <w:jc w:val="center"/>
            </w:pPr>
            <w:r>
              <w:rPr>
                <w:rFonts w:hint="eastAsia"/>
                <w:sz w:val="20"/>
              </w:rPr>
              <w:t>X</w:t>
            </w:r>
          </w:p>
        </w:tc>
      </w:tr>
      <w:tr w:rsidR="00096470">
        <w:trPr>
          <w:jc w:val="center"/>
        </w:trPr>
        <w:tc>
          <w:tcPr>
            <w:tcW w:w="5416" w:type="dxa"/>
          </w:tcPr>
          <w:p w:rsidR="00096470" w:rsidRDefault="00562CE6">
            <w:pPr>
              <w:widowControl/>
              <w:spacing w:beforeLines="0" w:afterLines="0" w:line="240" w:lineRule="auto"/>
            </w:pPr>
            <w:r>
              <w:rPr>
                <w:sz w:val="20"/>
              </w:rPr>
              <w:t xml:space="preserve">SPS period or dynamic transmission </w:t>
            </w:r>
          </w:p>
        </w:tc>
        <w:tc>
          <w:tcPr>
            <w:tcW w:w="3002" w:type="dxa"/>
          </w:tcPr>
          <w:p w:rsidR="00096470" w:rsidRDefault="00562CE6">
            <w:pPr>
              <w:widowControl/>
              <w:spacing w:beforeLines="0" w:afterLines="0" w:line="240" w:lineRule="auto"/>
              <w:jc w:val="center"/>
            </w:pPr>
            <w:r>
              <w:rPr>
                <w:sz w:val="20"/>
              </w:rPr>
              <w:t>~ 5</w:t>
            </w:r>
          </w:p>
        </w:tc>
      </w:tr>
      <w:tr w:rsidR="00096470">
        <w:trPr>
          <w:jc w:val="center"/>
        </w:trPr>
        <w:tc>
          <w:tcPr>
            <w:tcW w:w="5416" w:type="dxa"/>
          </w:tcPr>
          <w:p w:rsidR="00096470" w:rsidRDefault="00562CE6">
            <w:pPr>
              <w:widowControl/>
              <w:spacing w:beforeLines="0" w:afterLines="0" w:line="240" w:lineRule="auto"/>
            </w:pPr>
            <w:r>
              <w:rPr>
                <w:sz w:val="20"/>
              </w:rPr>
              <w:t xml:space="preserve">Retransmission </w:t>
            </w:r>
            <w:r>
              <w:rPr>
                <w:rFonts w:hint="eastAsia"/>
                <w:sz w:val="20"/>
              </w:rPr>
              <w:t>interval</w:t>
            </w:r>
          </w:p>
        </w:tc>
        <w:tc>
          <w:tcPr>
            <w:tcW w:w="3002" w:type="dxa"/>
          </w:tcPr>
          <w:p w:rsidR="00096470" w:rsidRDefault="00562CE6">
            <w:pPr>
              <w:widowControl/>
              <w:spacing w:beforeLines="0" w:afterLines="0" w:line="240" w:lineRule="auto"/>
              <w:jc w:val="center"/>
            </w:pPr>
            <w:r>
              <w:rPr>
                <w:sz w:val="20"/>
              </w:rPr>
              <w:t>~ 4</w:t>
            </w:r>
          </w:p>
        </w:tc>
      </w:tr>
      <w:tr w:rsidR="00096470">
        <w:trPr>
          <w:jc w:val="center"/>
        </w:trPr>
        <w:tc>
          <w:tcPr>
            <w:tcW w:w="5416" w:type="dxa"/>
          </w:tcPr>
          <w:p w:rsidR="00096470" w:rsidRDefault="00562CE6">
            <w:pPr>
              <w:widowControl/>
              <w:spacing w:beforeLines="0" w:afterLines="0" w:line="240" w:lineRule="auto"/>
            </w:pPr>
            <w:r>
              <w:rPr>
                <w:sz w:val="20"/>
              </w:rPr>
              <w:t xml:space="preserve">Destination ID </w:t>
            </w:r>
          </w:p>
        </w:tc>
        <w:tc>
          <w:tcPr>
            <w:tcW w:w="3002" w:type="dxa"/>
          </w:tcPr>
          <w:p w:rsidR="00096470" w:rsidRDefault="00562CE6">
            <w:pPr>
              <w:widowControl/>
              <w:spacing w:beforeLines="0" w:afterLines="0" w:line="240" w:lineRule="auto"/>
              <w:jc w:val="center"/>
            </w:pPr>
            <w:r>
              <w:rPr>
                <w:sz w:val="20"/>
              </w:rPr>
              <w:t>8</w:t>
            </w:r>
          </w:p>
        </w:tc>
      </w:tr>
      <w:tr w:rsidR="00096470">
        <w:trPr>
          <w:jc w:val="center"/>
        </w:trPr>
        <w:tc>
          <w:tcPr>
            <w:tcW w:w="5416" w:type="dxa"/>
          </w:tcPr>
          <w:p w:rsidR="00096470" w:rsidRDefault="00562CE6">
            <w:pPr>
              <w:widowControl/>
              <w:spacing w:beforeLines="0" w:afterLines="0" w:line="240" w:lineRule="auto"/>
            </w:pPr>
            <w:r>
              <w:rPr>
                <w:sz w:val="20"/>
              </w:rPr>
              <w:t>QoS/Priority</w:t>
            </w:r>
          </w:p>
        </w:tc>
        <w:tc>
          <w:tcPr>
            <w:tcW w:w="3002" w:type="dxa"/>
          </w:tcPr>
          <w:p w:rsidR="00096470" w:rsidRDefault="00562CE6">
            <w:pPr>
              <w:widowControl/>
              <w:spacing w:beforeLines="0" w:afterLines="0" w:line="240" w:lineRule="auto"/>
              <w:jc w:val="center"/>
            </w:pPr>
            <w:r>
              <w:rPr>
                <w:sz w:val="20"/>
              </w:rPr>
              <w:t xml:space="preserve">~ </w:t>
            </w:r>
            <w:r>
              <w:rPr>
                <w:rFonts w:hint="eastAsia"/>
                <w:sz w:val="20"/>
              </w:rPr>
              <w:t>3</w:t>
            </w:r>
          </w:p>
        </w:tc>
      </w:tr>
      <w:tr w:rsidR="00096470">
        <w:trPr>
          <w:jc w:val="center"/>
        </w:trPr>
        <w:tc>
          <w:tcPr>
            <w:tcW w:w="5416" w:type="dxa"/>
          </w:tcPr>
          <w:p w:rsidR="00096470" w:rsidRDefault="00562CE6">
            <w:pPr>
              <w:widowControl/>
              <w:spacing w:beforeLines="0" w:afterLines="0" w:line="240" w:lineRule="auto"/>
              <w:rPr>
                <w:sz w:val="20"/>
              </w:rPr>
            </w:pPr>
            <w:r>
              <w:rPr>
                <w:rFonts w:hint="eastAsia"/>
                <w:sz w:val="20"/>
              </w:rPr>
              <w:t>DMRS pattern index</w:t>
            </w:r>
          </w:p>
        </w:tc>
        <w:tc>
          <w:tcPr>
            <w:tcW w:w="3002" w:type="dxa"/>
          </w:tcPr>
          <w:p w:rsidR="00096470" w:rsidRDefault="00562CE6">
            <w:pPr>
              <w:widowControl/>
              <w:spacing w:beforeLines="0" w:afterLines="0" w:line="240" w:lineRule="auto"/>
              <w:jc w:val="center"/>
              <w:rPr>
                <w:sz w:val="20"/>
              </w:rPr>
            </w:pPr>
            <w:r>
              <w:rPr>
                <w:rFonts w:hint="eastAsia"/>
                <w:sz w:val="20"/>
              </w:rPr>
              <w:t>~ 2</w:t>
            </w:r>
          </w:p>
        </w:tc>
      </w:tr>
      <w:tr w:rsidR="00096470">
        <w:trPr>
          <w:jc w:val="center"/>
        </w:trPr>
        <w:tc>
          <w:tcPr>
            <w:tcW w:w="5416" w:type="dxa"/>
            <w:shd w:val="clear" w:color="auto" w:fill="auto"/>
          </w:tcPr>
          <w:p w:rsidR="00096470" w:rsidRDefault="00562CE6">
            <w:pPr>
              <w:widowControl/>
              <w:spacing w:beforeLines="0" w:afterLines="0" w:line="240" w:lineRule="auto"/>
              <w:jc w:val="left"/>
            </w:pPr>
            <w:r>
              <w:rPr>
                <w:sz w:val="20"/>
              </w:rPr>
              <w:t>Antenna ports</w:t>
            </w:r>
            <w:r>
              <w:rPr>
                <w:rFonts w:hint="eastAsia"/>
                <w:sz w:val="20"/>
              </w:rPr>
              <w:t xml:space="preserve">                                 </w:t>
            </w:r>
            <w:r>
              <w:rPr>
                <w:sz w:val="20"/>
              </w:rPr>
              <w:t xml:space="preserve"> </w:t>
            </w:r>
          </w:p>
        </w:tc>
        <w:tc>
          <w:tcPr>
            <w:tcW w:w="3002" w:type="dxa"/>
            <w:shd w:val="clear" w:color="auto" w:fill="auto"/>
          </w:tcPr>
          <w:p w:rsidR="00096470" w:rsidRDefault="00562CE6">
            <w:pPr>
              <w:widowControl/>
              <w:spacing w:beforeLines="0" w:afterLines="0" w:line="240" w:lineRule="auto"/>
              <w:jc w:val="center"/>
            </w:pPr>
            <w:r>
              <w:rPr>
                <w:rFonts w:hint="eastAsia"/>
                <w:sz w:val="20"/>
              </w:rPr>
              <w:t>1</w:t>
            </w:r>
            <w:r>
              <w:rPr>
                <w:sz w:val="20"/>
              </w:rPr>
              <w:t xml:space="preserve"> </w:t>
            </w:r>
          </w:p>
        </w:tc>
      </w:tr>
      <w:tr w:rsidR="00096470">
        <w:trPr>
          <w:jc w:val="center"/>
        </w:trPr>
        <w:tc>
          <w:tcPr>
            <w:tcW w:w="5416" w:type="dxa"/>
            <w:shd w:val="clear" w:color="auto" w:fill="auto"/>
          </w:tcPr>
          <w:p w:rsidR="00096470" w:rsidRDefault="00562CE6">
            <w:pPr>
              <w:widowControl/>
              <w:spacing w:beforeLines="0" w:afterLines="0" w:line="240" w:lineRule="auto"/>
              <w:jc w:val="distribute"/>
            </w:pPr>
            <w:r>
              <w:rPr>
                <w:rFonts w:hint="eastAsia"/>
                <w:sz w:val="20"/>
              </w:rPr>
              <w:t>2nd SCI format                                  (TBD)</w:t>
            </w:r>
          </w:p>
        </w:tc>
        <w:tc>
          <w:tcPr>
            <w:tcW w:w="3002" w:type="dxa"/>
            <w:shd w:val="clear" w:color="auto" w:fill="auto"/>
          </w:tcPr>
          <w:p w:rsidR="00096470" w:rsidRDefault="00562CE6">
            <w:pPr>
              <w:widowControl/>
              <w:spacing w:beforeLines="0" w:afterLines="0" w:line="240" w:lineRule="auto"/>
              <w:jc w:val="center"/>
            </w:pPr>
            <w:r>
              <w:rPr>
                <w:rFonts w:hint="eastAsia"/>
                <w:sz w:val="20"/>
              </w:rPr>
              <w:t>~ 3</w:t>
            </w:r>
          </w:p>
        </w:tc>
      </w:tr>
      <w:tr w:rsidR="00096470">
        <w:trPr>
          <w:jc w:val="center"/>
        </w:trPr>
        <w:tc>
          <w:tcPr>
            <w:tcW w:w="5416" w:type="dxa"/>
            <w:shd w:val="clear" w:color="auto" w:fill="auto"/>
          </w:tcPr>
          <w:p w:rsidR="00096470" w:rsidRDefault="00562CE6">
            <w:pPr>
              <w:widowControl/>
              <w:spacing w:beforeLines="0" w:afterLines="0" w:line="240" w:lineRule="auto"/>
            </w:pPr>
            <w:r>
              <w:rPr>
                <w:sz w:val="20"/>
              </w:rPr>
              <w:t xml:space="preserve">CRC </w:t>
            </w:r>
          </w:p>
        </w:tc>
        <w:tc>
          <w:tcPr>
            <w:tcW w:w="3002" w:type="dxa"/>
            <w:shd w:val="clear" w:color="auto" w:fill="auto"/>
          </w:tcPr>
          <w:p w:rsidR="00096470" w:rsidRDefault="00562CE6">
            <w:pPr>
              <w:widowControl/>
              <w:spacing w:beforeLines="0" w:afterLines="0" w:line="240" w:lineRule="auto"/>
              <w:jc w:val="center"/>
            </w:pPr>
            <w:r>
              <w:rPr>
                <w:sz w:val="20"/>
              </w:rPr>
              <w:t>24</w:t>
            </w:r>
          </w:p>
        </w:tc>
      </w:tr>
      <w:tr w:rsidR="00096470">
        <w:trPr>
          <w:jc w:val="center"/>
        </w:trPr>
        <w:tc>
          <w:tcPr>
            <w:tcW w:w="5416" w:type="dxa"/>
            <w:shd w:val="clear" w:color="auto" w:fill="auto"/>
          </w:tcPr>
          <w:p w:rsidR="00096470" w:rsidRDefault="00562CE6">
            <w:pPr>
              <w:widowControl/>
              <w:spacing w:beforeLines="0" w:afterLines="0" w:line="240" w:lineRule="auto"/>
              <w:rPr>
                <w:sz w:val="20"/>
              </w:rPr>
            </w:pPr>
            <w:r>
              <w:rPr>
                <w:rFonts w:hint="eastAsia"/>
                <w:sz w:val="20"/>
              </w:rPr>
              <w:t>Total</w:t>
            </w:r>
          </w:p>
        </w:tc>
        <w:tc>
          <w:tcPr>
            <w:tcW w:w="3002" w:type="dxa"/>
            <w:shd w:val="clear" w:color="auto" w:fill="auto"/>
          </w:tcPr>
          <w:p w:rsidR="00096470" w:rsidRDefault="00562CE6">
            <w:pPr>
              <w:widowControl/>
              <w:spacing w:beforeLines="0" w:afterLines="0" w:line="240" w:lineRule="auto"/>
              <w:jc w:val="center"/>
              <w:rPr>
                <w:sz w:val="20"/>
              </w:rPr>
            </w:pPr>
            <w:r>
              <w:rPr>
                <w:rFonts w:hint="eastAsia"/>
                <w:sz w:val="20"/>
              </w:rPr>
              <w:t>~ 52 + X</w:t>
            </w:r>
          </w:p>
        </w:tc>
      </w:tr>
      <w:tr w:rsidR="00096470">
        <w:trPr>
          <w:jc w:val="center"/>
        </w:trPr>
        <w:tc>
          <w:tcPr>
            <w:tcW w:w="8418" w:type="dxa"/>
            <w:gridSpan w:val="2"/>
            <w:shd w:val="clear" w:color="auto" w:fill="auto"/>
          </w:tcPr>
          <w:p w:rsidR="00096470" w:rsidRDefault="00562CE6">
            <w:pPr>
              <w:widowControl/>
              <w:spacing w:beforeLines="0" w:afterLines="0" w:line="240" w:lineRule="auto"/>
              <w:rPr>
                <w:sz w:val="20"/>
              </w:rPr>
            </w:pPr>
            <w:r>
              <w:rPr>
                <w:rFonts w:hint="eastAsia"/>
                <w:sz w:val="20"/>
              </w:rPr>
              <w:t>Note: the value of X d</w:t>
            </w:r>
            <w:r>
              <w:rPr>
                <w:sz w:val="20"/>
              </w:rPr>
              <w:t>epends on the number of sub-channels in a resource pool</w:t>
            </w:r>
          </w:p>
        </w:tc>
      </w:tr>
    </w:tbl>
    <w:p w:rsidR="00096470" w:rsidRDefault="006C2EDC">
      <w:pPr>
        <w:numPr>
          <w:ilvl w:val="255"/>
          <w:numId w:val="0"/>
        </w:numPr>
        <w:spacing w:before="120" w:after="120"/>
        <w:rPr>
          <w:sz w:val="20"/>
          <w:szCs w:val="22"/>
        </w:rPr>
      </w:pPr>
      <w:r>
        <w:rPr>
          <w:sz w:val="20"/>
          <w:szCs w:val="22"/>
        </w:rPr>
        <w:t>Because</w:t>
      </w:r>
      <w:r w:rsidR="00562CE6">
        <w:rPr>
          <w:rFonts w:hint="eastAsia"/>
          <w:sz w:val="20"/>
          <w:szCs w:val="22"/>
        </w:rPr>
        <w:t xml:space="preserve"> the 2</w:t>
      </w:r>
      <w:r w:rsidR="00562CE6">
        <w:rPr>
          <w:rFonts w:hint="eastAsia"/>
          <w:sz w:val="20"/>
          <w:szCs w:val="22"/>
          <w:vertAlign w:val="superscript"/>
        </w:rPr>
        <w:t>nd</w:t>
      </w:r>
      <w:r w:rsidR="00562CE6">
        <w:rPr>
          <w:rFonts w:hint="eastAsia"/>
          <w:sz w:val="20"/>
          <w:szCs w:val="22"/>
        </w:rPr>
        <w:t xml:space="preserve"> SCI is decoded by using PSSCH DMRS, a </w:t>
      </w:r>
      <w:r>
        <w:rPr>
          <w:sz w:val="20"/>
          <w:szCs w:val="22"/>
        </w:rPr>
        <w:t>reasonable</w:t>
      </w:r>
      <w:r w:rsidR="00562CE6">
        <w:rPr>
          <w:rFonts w:hint="eastAsia"/>
          <w:sz w:val="20"/>
          <w:szCs w:val="22"/>
        </w:rPr>
        <w:t xml:space="preserve"> resource </w:t>
      </w:r>
      <w:r>
        <w:rPr>
          <w:sz w:val="20"/>
          <w:szCs w:val="22"/>
        </w:rPr>
        <w:t xml:space="preserve">allocation </w:t>
      </w:r>
      <w:r w:rsidR="00562CE6">
        <w:rPr>
          <w:rFonts w:hint="eastAsia"/>
          <w:sz w:val="20"/>
          <w:szCs w:val="22"/>
        </w:rPr>
        <w:t xml:space="preserve">scheme </w:t>
      </w:r>
      <w:r>
        <w:rPr>
          <w:rFonts w:hint="eastAsia"/>
          <w:sz w:val="20"/>
          <w:szCs w:val="22"/>
        </w:rPr>
        <w:t>for</w:t>
      </w:r>
      <w:r w:rsidR="00562CE6">
        <w:rPr>
          <w:rFonts w:hint="eastAsia"/>
          <w:sz w:val="20"/>
          <w:szCs w:val="22"/>
        </w:rPr>
        <w:t xml:space="preserve"> 2</w:t>
      </w:r>
      <w:r w:rsidR="00562CE6">
        <w:rPr>
          <w:rFonts w:hint="eastAsia"/>
          <w:sz w:val="20"/>
          <w:szCs w:val="22"/>
          <w:vertAlign w:val="superscript"/>
        </w:rPr>
        <w:t>nd</w:t>
      </w:r>
      <w:r w:rsidR="00562CE6">
        <w:rPr>
          <w:rFonts w:hint="eastAsia"/>
          <w:sz w:val="20"/>
          <w:szCs w:val="22"/>
        </w:rPr>
        <w:t xml:space="preserve"> SCI is </w:t>
      </w:r>
      <w:r>
        <w:rPr>
          <w:sz w:val="20"/>
          <w:szCs w:val="22"/>
        </w:rPr>
        <w:t xml:space="preserve">to </w:t>
      </w:r>
      <w:r>
        <w:rPr>
          <w:rFonts w:hint="eastAsia"/>
          <w:sz w:val="20"/>
          <w:szCs w:val="22"/>
        </w:rPr>
        <w:t>multiplex</w:t>
      </w:r>
      <w:r w:rsidR="00562CE6">
        <w:rPr>
          <w:rFonts w:hint="eastAsia"/>
          <w:sz w:val="20"/>
          <w:szCs w:val="22"/>
        </w:rPr>
        <w:t xml:space="preserve"> </w:t>
      </w:r>
      <w:r>
        <w:rPr>
          <w:rFonts w:hint="eastAsia"/>
          <w:sz w:val="20"/>
          <w:szCs w:val="22"/>
        </w:rPr>
        <w:t>2</w:t>
      </w:r>
      <w:r w:rsidRPr="006C2EDC">
        <w:rPr>
          <w:rFonts w:hint="eastAsia"/>
          <w:sz w:val="20"/>
          <w:szCs w:val="22"/>
          <w:vertAlign w:val="superscript"/>
        </w:rPr>
        <w:t>nd</w:t>
      </w:r>
      <w:r>
        <w:rPr>
          <w:rFonts w:hint="eastAsia"/>
          <w:sz w:val="20"/>
          <w:szCs w:val="22"/>
        </w:rPr>
        <w:t xml:space="preserve"> </w:t>
      </w:r>
      <w:r>
        <w:rPr>
          <w:sz w:val="20"/>
          <w:szCs w:val="22"/>
        </w:rPr>
        <w:t>stage SCI</w:t>
      </w:r>
      <w:r w:rsidR="00562CE6">
        <w:rPr>
          <w:rFonts w:hint="eastAsia"/>
          <w:sz w:val="20"/>
          <w:szCs w:val="22"/>
        </w:rPr>
        <w:t xml:space="preserve"> with data on PSSCH by using similar process of UCI multiplexing on PUSCH. It may require less standard discussion and modification than other resource schemes for 2</w:t>
      </w:r>
      <w:r w:rsidR="00562CE6">
        <w:rPr>
          <w:rFonts w:hint="eastAsia"/>
          <w:sz w:val="20"/>
          <w:szCs w:val="22"/>
          <w:vertAlign w:val="superscript"/>
        </w:rPr>
        <w:t>nd</w:t>
      </w:r>
      <w:r w:rsidR="00562CE6">
        <w:rPr>
          <w:rFonts w:hint="eastAsia"/>
          <w:sz w:val="20"/>
          <w:szCs w:val="22"/>
        </w:rPr>
        <w:t xml:space="preserve"> SCI, such as defining a dedicated channel</w:t>
      </w:r>
      <w:r>
        <w:rPr>
          <w:rFonts w:hint="eastAsia"/>
          <w:sz w:val="20"/>
          <w:szCs w:val="22"/>
        </w:rPr>
        <w:t>.</w:t>
      </w:r>
      <w:r w:rsidR="00562CE6">
        <w:rPr>
          <w:rFonts w:hint="eastAsia"/>
          <w:sz w:val="20"/>
          <w:szCs w:val="22"/>
        </w:rPr>
        <w:t xml:space="preserve"> </w:t>
      </w:r>
    </w:p>
    <w:p w:rsidR="00096470" w:rsidRDefault="00562CE6">
      <w:pPr>
        <w:pStyle w:val="YJ-Proposal"/>
        <w:spacing w:before="120" w:after="120"/>
        <w:rPr>
          <w:lang w:val="en-US" w:eastAsia="zh-CN"/>
        </w:rPr>
      </w:pPr>
      <w:bookmarkStart w:id="230" w:name="_Toc20774585"/>
      <w:r>
        <w:rPr>
          <w:rFonts w:hint="eastAsia"/>
          <w:szCs w:val="22"/>
          <w:lang w:val="en-US" w:eastAsia="zh-CN"/>
        </w:rPr>
        <w:t xml:space="preserve">Using the scheme of UCI </w:t>
      </w:r>
      <w:r w:rsidR="006C2EDC">
        <w:rPr>
          <w:szCs w:val="22"/>
          <w:lang w:val="en-US" w:eastAsia="zh-CN"/>
        </w:rPr>
        <w:t xml:space="preserve">multiplexing </w:t>
      </w:r>
      <w:r>
        <w:rPr>
          <w:rFonts w:hint="eastAsia"/>
          <w:szCs w:val="22"/>
          <w:lang w:val="en-US" w:eastAsia="zh-CN"/>
        </w:rPr>
        <w:t>on PUSCH as baseline for multiplexing 2</w:t>
      </w:r>
      <w:r>
        <w:rPr>
          <w:rFonts w:hint="eastAsia"/>
          <w:szCs w:val="22"/>
          <w:vertAlign w:val="superscript"/>
          <w:lang w:val="en-US" w:eastAsia="zh-CN"/>
        </w:rPr>
        <w:t>nd</w:t>
      </w:r>
      <w:r>
        <w:rPr>
          <w:rFonts w:hint="eastAsia"/>
          <w:szCs w:val="22"/>
          <w:lang w:val="en-US" w:eastAsia="zh-CN"/>
        </w:rPr>
        <w:t xml:space="preserve"> SCI in PSSCH.</w:t>
      </w:r>
      <w:bookmarkEnd w:id="230"/>
      <w:r>
        <w:rPr>
          <w:rFonts w:hint="eastAsia"/>
          <w:szCs w:val="22"/>
          <w:lang w:val="en-US" w:eastAsia="zh-CN"/>
        </w:rPr>
        <w:t xml:space="preserve"> </w:t>
      </w:r>
    </w:p>
    <w:p w:rsidR="00096470" w:rsidRDefault="00562CE6">
      <w:pPr>
        <w:spacing w:before="120" w:after="120"/>
        <w:rPr>
          <w:sz w:val="20"/>
        </w:rPr>
      </w:pPr>
      <w:r>
        <w:rPr>
          <w:rFonts w:hint="eastAsia"/>
          <w:sz w:val="20"/>
        </w:rPr>
        <w:t>The 2</w:t>
      </w:r>
      <w:r>
        <w:rPr>
          <w:rFonts w:hint="eastAsia"/>
          <w:sz w:val="20"/>
          <w:vertAlign w:val="superscript"/>
        </w:rPr>
        <w:t>nd</w:t>
      </w:r>
      <w:r>
        <w:rPr>
          <w:rFonts w:hint="eastAsia"/>
          <w:sz w:val="20"/>
        </w:rPr>
        <w:t xml:space="preserve"> SCI is used to indicate further information of data on PSSCH and other control information. For different cast types, the content included in 2</w:t>
      </w:r>
      <w:r>
        <w:rPr>
          <w:rFonts w:hint="eastAsia"/>
          <w:sz w:val="20"/>
          <w:vertAlign w:val="superscript"/>
        </w:rPr>
        <w:t>nd</w:t>
      </w:r>
      <w:r>
        <w:rPr>
          <w:rFonts w:hint="eastAsia"/>
          <w:sz w:val="20"/>
        </w:rPr>
        <w:t xml:space="preserve"> SCI and the overhead size are diverse as shown in </w:t>
      </w:r>
      <w:r w:rsidR="00985DD6">
        <w:rPr>
          <w:rFonts w:hint="eastAsia"/>
          <w:sz w:val="20"/>
        </w:rPr>
        <w:fldChar w:fldCharType="begin"/>
      </w:r>
      <w:r>
        <w:rPr>
          <w:rFonts w:hint="eastAsia"/>
          <w:sz w:val="20"/>
        </w:rPr>
        <w:instrText xml:space="preserve"> REF _Ref7245 \h </w:instrText>
      </w:r>
      <w:r w:rsidR="00985DD6">
        <w:rPr>
          <w:rFonts w:hint="eastAsia"/>
          <w:sz w:val="20"/>
        </w:rPr>
      </w:r>
      <w:r w:rsidR="00985DD6">
        <w:rPr>
          <w:rFonts w:hint="eastAsia"/>
          <w:sz w:val="20"/>
        </w:rPr>
        <w:fldChar w:fldCharType="separate"/>
      </w:r>
      <w:r w:rsidR="003D7824">
        <w:rPr>
          <w:b/>
          <w:bCs/>
          <w:sz w:val="20"/>
        </w:rPr>
        <w:t xml:space="preserve">Table </w:t>
      </w:r>
      <w:r w:rsidR="003D7824">
        <w:rPr>
          <w:b/>
          <w:bCs/>
          <w:noProof/>
          <w:sz w:val="20"/>
        </w:rPr>
        <w:t>2</w:t>
      </w:r>
      <w:r w:rsidR="00985DD6">
        <w:rPr>
          <w:rFonts w:hint="eastAsia"/>
          <w:sz w:val="20"/>
        </w:rPr>
        <w:fldChar w:fldCharType="end"/>
      </w:r>
      <w:r>
        <w:rPr>
          <w:rFonts w:hint="eastAsia"/>
          <w:sz w:val="20"/>
        </w:rPr>
        <w:t xml:space="preserve">. </w:t>
      </w:r>
      <w:r w:rsidR="00844EEF">
        <w:rPr>
          <w:sz w:val="20"/>
        </w:rPr>
        <w:t>Multiple</w:t>
      </w:r>
      <w:r>
        <w:rPr>
          <w:rFonts w:hint="eastAsia"/>
          <w:sz w:val="20"/>
        </w:rPr>
        <w:t xml:space="preserve"> 2</w:t>
      </w:r>
      <w:r>
        <w:rPr>
          <w:rFonts w:hint="eastAsia"/>
          <w:sz w:val="20"/>
          <w:vertAlign w:val="superscript"/>
        </w:rPr>
        <w:t>nd</w:t>
      </w:r>
      <w:r>
        <w:rPr>
          <w:rFonts w:hint="eastAsia"/>
          <w:sz w:val="20"/>
        </w:rPr>
        <w:t xml:space="preserve"> SCI formats </w:t>
      </w:r>
      <w:r w:rsidR="00844EEF">
        <w:rPr>
          <w:sz w:val="20"/>
        </w:rPr>
        <w:t xml:space="preserve">may be demanded </w:t>
      </w:r>
      <w:r>
        <w:rPr>
          <w:rFonts w:hint="eastAsia"/>
          <w:sz w:val="20"/>
        </w:rPr>
        <w:t>for different purposes</w:t>
      </w:r>
      <w:r w:rsidR="00844EEF">
        <w:rPr>
          <w:rFonts w:hint="eastAsia"/>
          <w:sz w:val="20"/>
        </w:rPr>
        <w:t>,</w:t>
      </w:r>
      <w:r>
        <w:rPr>
          <w:rFonts w:hint="eastAsia"/>
          <w:sz w:val="20"/>
        </w:rPr>
        <w:t xml:space="preserve"> </w:t>
      </w:r>
      <w:r w:rsidR="00844EEF">
        <w:rPr>
          <w:rFonts w:hint="eastAsia"/>
          <w:sz w:val="20"/>
        </w:rPr>
        <w:t>f</w:t>
      </w:r>
      <w:r>
        <w:rPr>
          <w:rFonts w:hint="eastAsia"/>
          <w:sz w:val="20"/>
        </w:rPr>
        <w:t>or example, the 2</w:t>
      </w:r>
      <w:r>
        <w:rPr>
          <w:rFonts w:hint="eastAsia"/>
          <w:sz w:val="20"/>
          <w:vertAlign w:val="superscript"/>
        </w:rPr>
        <w:t>nd</w:t>
      </w:r>
      <w:r>
        <w:rPr>
          <w:rFonts w:hint="eastAsia"/>
          <w:sz w:val="20"/>
        </w:rPr>
        <w:t xml:space="preserve"> SCI for broadcast needs a few indication fields while more information is needed for groupcast/unicast, including CSI request, location information for feedback, etc.</w:t>
      </w:r>
    </w:p>
    <w:p w:rsidR="00096470" w:rsidRDefault="00562CE6">
      <w:pPr>
        <w:pStyle w:val="Caption"/>
        <w:jc w:val="center"/>
        <w:rPr>
          <w:b w:val="0"/>
          <w:bCs/>
          <w:sz w:val="20"/>
        </w:rPr>
      </w:pPr>
      <w:bookmarkStart w:id="231" w:name="_Ref7245"/>
      <w:r>
        <w:rPr>
          <w:b w:val="0"/>
          <w:bCs/>
          <w:sz w:val="20"/>
        </w:rPr>
        <w:t xml:space="preserve">Table </w:t>
      </w:r>
      <w:r w:rsidR="00985DD6">
        <w:rPr>
          <w:b w:val="0"/>
          <w:bCs/>
          <w:sz w:val="20"/>
        </w:rPr>
        <w:fldChar w:fldCharType="begin"/>
      </w:r>
      <w:r>
        <w:rPr>
          <w:b w:val="0"/>
          <w:bCs/>
          <w:sz w:val="20"/>
        </w:rPr>
        <w:instrText xml:space="preserve"> SEQ Table \* ARABIC </w:instrText>
      </w:r>
      <w:r w:rsidR="00985DD6">
        <w:rPr>
          <w:b w:val="0"/>
          <w:bCs/>
          <w:sz w:val="20"/>
        </w:rPr>
        <w:fldChar w:fldCharType="separate"/>
      </w:r>
      <w:r w:rsidR="003D7824">
        <w:rPr>
          <w:b w:val="0"/>
          <w:bCs/>
          <w:noProof/>
          <w:sz w:val="20"/>
        </w:rPr>
        <w:t>2</w:t>
      </w:r>
      <w:r w:rsidR="00985DD6">
        <w:rPr>
          <w:b w:val="0"/>
          <w:bCs/>
          <w:sz w:val="20"/>
        </w:rPr>
        <w:fldChar w:fldCharType="end"/>
      </w:r>
      <w:bookmarkEnd w:id="231"/>
      <w:r>
        <w:rPr>
          <w:rFonts w:hint="eastAsia"/>
          <w:b w:val="0"/>
          <w:bCs/>
          <w:sz w:val="20"/>
        </w:rPr>
        <w:t xml:space="preserve"> Content in 2</w:t>
      </w:r>
      <w:r>
        <w:rPr>
          <w:rFonts w:hint="eastAsia"/>
          <w:b w:val="0"/>
          <w:bCs/>
          <w:sz w:val="20"/>
          <w:vertAlign w:val="superscript"/>
        </w:rPr>
        <w:t>nd</w:t>
      </w:r>
      <w:r>
        <w:rPr>
          <w:rFonts w:hint="eastAsia"/>
          <w:b w:val="0"/>
          <w:bCs/>
          <w:sz w:val="20"/>
        </w:rPr>
        <w:t xml:space="preserve"> SCI</w:t>
      </w:r>
    </w:p>
    <w:tbl>
      <w:tblPr>
        <w:tblStyle w:val="TableGrid"/>
        <w:tblW w:w="9800" w:type="dxa"/>
        <w:jc w:val="center"/>
        <w:tblLayout w:type="fixed"/>
        <w:tblLook w:val="04A0"/>
      </w:tblPr>
      <w:tblGrid>
        <w:gridCol w:w="5303"/>
        <w:gridCol w:w="2181"/>
        <w:gridCol w:w="1158"/>
        <w:gridCol w:w="1158"/>
      </w:tblGrid>
      <w:tr w:rsidR="00096470">
        <w:trPr>
          <w:jc w:val="center"/>
        </w:trPr>
        <w:tc>
          <w:tcPr>
            <w:tcW w:w="5303" w:type="dxa"/>
            <w:vAlign w:val="center"/>
          </w:tcPr>
          <w:p w:rsidR="00096470" w:rsidRDefault="00562CE6">
            <w:pPr>
              <w:widowControl/>
              <w:spacing w:beforeLines="0" w:afterLines="0" w:line="240" w:lineRule="auto"/>
              <w:jc w:val="center"/>
            </w:pPr>
            <w:r>
              <w:rPr>
                <w:b/>
                <w:bCs/>
                <w:sz w:val="20"/>
              </w:rPr>
              <w:t>Indication item</w:t>
            </w:r>
          </w:p>
        </w:tc>
        <w:tc>
          <w:tcPr>
            <w:tcW w:w="2181" w:type="dxa"/>
            <w:vAlign w:val="center"/>
          </w:tcPr>
          <w:p w:rsidR="00096470" w:rsidRDefault="00562CE6">
            <w:pPr>
              <w:widowControl/>
              <w:spacing w:beforeLines="0" w:afterLines="0" w:line="240" w:lineRule="auto"/>
              <w:jc w:val="center"/>
            </w:pPr>
            <w:r>
              <w:rPr>
                <w:b/>
                <w:bCs/>
                <w:sz w:val="20"/>
              </w:rPr>
              <w:t>overhead</w:t>
            </w:r>
          </w:p>
        </w:tc>
        <w:tc>
          <w:tcPr>
            <w:tcW w:w="1158" w:type="dxa"/>
            <w:vAlign w:val="center"/>
          </w:tcPr>
          <w:p w:rsidR="00096470" w:rsidRDefault="00562CE6">
            <w:pPr>
              <w:widowControl/>
              <w:spacing w:beforeLines="0" w:afterLines="0" w:line="240" w:lineRule="auto"/>
              <w:jc w:val="center"/>
              <w:rPr>
                <w:b/>
                <w:bCs/>
                <w:sz w:val="20"/>
              </w:rPr>
            </w:pPr>
            <w:r>
              <w:rPr>
                <w:rFonts w:hint="eastAsia"/>
                <w:b/>
                <w:bCs/>
                <w:sz w:val="20"/>
              </w:rPr>
              <w:t>Broadcast</w:t>
            </w:r>
          </w:p>
          <w:p w:rsidR="00096470" w:rsidRDefault="00562CE6">
            <w:pPr>
              <w:widowControl/>
              <w:spacing w:beforeLines="0" w:afterLines="0" w:line="240" w:lineRule="auto"/>
              <w:jc w:val="center"/>
              <w:rPr>
                <w:b/>
                <w:bCs/>
                <w:sz w:val="20"/>
              </w:rPr>
            </w:pPr>
            <w:r>
              <w:rPr>
                <w:rFonts w:hint="eastAsia"/>
                <w:b/>
                <w:bCs/>
                <w:sz w:val="20"/>
              </w:rPr>
              <w:t>needed</w:t>
            </w:r>
          </w:p>
        </w:tc>
        <w:tc>
          <w:tcPr>
            <w:tcW w:w="1158" w:type="dxa"/>
            <w:vAlign w:val="center"/>
          </w:tcPr>
          <w:p w:rsidR="00096470" w:rsidRDefault="00562CE6">
            <w:pPr>
              <w:widowControl/>
              <w:spacing w:beforeLines="0" w:afterLines="0" w:line="240" w:lineRule="auto"/>
              <w:jc w:val="center"/>
              <w:rPr>
                <w:b/>
                <w:bCs/>
                <w:sz w:val="20"/>
              </w:rPr>
            </w:pPr>
            <w:r>
              <w:rPr>
                <w:rFonts w:hint="eastAsia"/>
                <w:b/>
                <w:bCs/>
                <w:sz w:val="20"/>
              </w:rPr>
              <w:t>Groupcast/Unicast</w:t>
            </w:r>
          </w:p>
          <w:p w:rsidR="00096470" w:rsidRDefault="00562CE6">
            <w:pPr>
              <w:widowControl/>
              <w:spacing w:beforeLines="0" w:afterLines="0" w:line="240" w:lineRule="auto"/>
              <w:jc w:val="center"/>
              <w:rPr>
                <w:b/>
                <w:bCs/>
                <w:sz w:val="20"/>
              </w:rPr>
            </w:pPr>
            <w:r>
              <w:rPr>
                <w:rFonts w:hint="eastAsia"/>
                <w:b/>
                <w:bCs/>
                <w:sz w:val="20"/>
              </w:rPr>
              <w:t>needed</w:t>
            </w:r>
          </w:p>
        </w:tc>
      </w:tr>
      <w:tr w:rsidR="00096470">
        <w:trPr>
          <w:jc w:val="center"/>
        </w:trPr>
        <w:tc>
          <w:tcPr>
            <w:tcW w:w="5303" w:type="dxa"/>
          </w:tcPr>
          <w:p w:rsidR="00096470" w:rsidRDefault="00562CE6">
            <w:pPr>
              <w:widowControl/>
              <w:spacing w:beforeLines="0" w:afterLines="0" w:line="240" w:lineRule="auto"/>
            </w:pPr>
            <w:r>
              <w:rPr>
                <w:sz w:val="20"/>
              </w:rPr>
              <w:t xml:space="preserve">Source ID  </w:t>
            </w:r>
          </w:p>
        </w:tc>
        <w:tc>
          <w:tcPr>
            <w:tcW w:w="2181" w:type="dxa"/>
          </w:tcPr>
          <w:p w:rsidR="00096470" w:rsidRDefault="00562CE6">
            <w:pPr>
              <w:widowControl/>
              <w:spacing w:beforeLines="0" w:afterLines="0" w:line="240" w:lineRule="auto"/>
              <w:jc w:val="center"/>
            </w:pPr>
            <w:r>
              <w:rPr>
                <w:sz w:val="20"/>
              </w:rPr>
              <w:t>8</w:t>
            </w:r>
          </w:p>
        </w:tc>
        <w:tc>
          <w:tcPr>
            <w:tcW w:w="1158" w:type="dxa"/>
          </w:tcPr>
          <w:p w:rsidR="00096470" w:rsidRDefault="00562CE6">
            <w:pPr>
              <w:widowControl/>
              <w:spacing w:beforeLines="0" w:afterLines="0" w:line="240" w:lineRule="auto"/>
              <w:jc w:val="center"/>
            </w:pPr>
            <w:r>
              <w:rPr>
                <w:rFonts w:ascii="Arial" w:hAnsi="Arial" w:cs="Arial"/>
                <w:sz w:val="20"/>
              </w:rPr>
              <w:t>√</w:t>
            </w:r>
          </w:p>
        </w:tc>
        <w:tc>
          <w:tcPr>
            <w:tcW w:w="1158" w:type="dxa"/>
          </w:tcPr>
          <w:p w:rsidR="00096470" w:rsidRDefault="00562CE6">
            <w:pPr>
              <w:widowControl/>
              <w:spacing w:beforeLines="0" w:afterLines="0" w:line="240" w:lineRule="auto"/>
              <w:jc w:val="center"/>
              <w:rPr>
                <w:rFonts w:ascii="Arial" w:hAnsi="Arial" w:cs="Arial"/>
                <w:sz w:val="20"/>
              </w:rPr>
            </w:pPr>
            <w:r>
              <w:rPr>
                <w:rFonts w:ascii="Arial" w:hAnsi="Arial" w:cs="Arial"/>
                <w:sz w:val="20"/>
              </w:rPr>
              <w:t>√</w:t>
            </w:r>
          </w:p>
        </w:tc>
      </w:tr>
      <w:tr w:rsidR="00096470">
        <w:trPr>
          <w:jc w:val="center"/>
        </w:trPr>
        <w:tc>
          <w:tcPr>
            <w:tcW w:w="5303" w:type="dxa"/>
          </w:tcPr>
          <w:p w:rsidR="00096470" w:rsidRDefault="00562CE6">
            <w:pPr>
              <w:widowControl/>
              <w:spacing w:beforeLines="0" w:afterLines="0" w:line="240" w:lineRule="auto"/>
            </w:pPr>
            <w:r>
              <w:rPr>
                <w:sz w:val="20"/>
              </w:rPr>
              <w:t xml:space="preserve">HARQ process ID </w:t>
            </w:r>
          </w:p>
        </w:tc>
        <w:tc>
          <w:tcPr>
            <w:tcW w:w="2181" w:type="dxa"/>
          </w:tcPr>
          <w:p w:rsidR="00096470" w:rsidRDefault="00562CE6">
            <w:pPr>
              <w:widowControl/>
              <w:spacing w:beforeLines="0" w:afterLines="0" w:line="240" w:lineRule="auto"/>
              <w:jc w:val="center"/>
            </w:pPr>
            <w:r>
              <w:rPr>
                <w:sz w:val="20"/>
              </w:rPr>
              <w:t>4</w:t>
            </w:r>
          </w:p>
        </w:tc>
        <w:tc>
          <w:tcPr>
            <w:tcW w:w="1158" w:type="dxa"/>
          </w:tcPr>
          <w:p w:rsidR="00096470" w:rsidRDefault="00562CE6">
            <w:pPr>
              <w:widowControl/>
              <w:spacing w:beforeLines="0" w:afterLines="0" w:line="240" w:lineRule="auto"/>
              <w:jc w:val="center"/>
            </w:pPr>
            <w:r>
              <w:rPr>
                <w:rFonts w:ascii="Arial" w:hAnsi="Arial" w:cs="Arial"/>
                <w:sz w:val="20"/>
              </w:rPr>
              <w:t>√</w:t>
            </w:r>
          </w:p>
        </w:tc>
        <w:tc>
          <w:tcPr>
            <w:tcW w:w="1158" w:type="dxa"/>
          </w:tcPr>
          <w:p w:rsidR="00096470" w:rsidRDefault="00562CE6">
            <w:pPr>
              <w:widowControl/>
              <w:spacing w:beforeLines="0" w:afterLines="0" w:line="240" w:lineRule="auto"/>
              <w:jc w:val="center"/>
              <w:rPr>
                <w:rFonts w:ascii="Arial" w:hAnsi="Arial" w:cs="Arial"/>
                <w:sz w:val="20"/>
              </w:rPr>
            </w:pPr>
            <w:r>
              <w:rPr>
                <w:rFonts w:ascii="Arial" w:hAnsi="Arial" w:cs="Arial"/>
                <w:sz w:val="20"/>
              </w:rPr>
              <w:t>√</w:t>
            </w:r>
          </w:p>
        </w:tc>
      </w:tr>
      <w:tr w:rsidR="00096470">
        <w:trPr>
          <w:jc w:val="center"/>
        </w:trPr>
        <w:tc>
          <w:tcPr>
            <w:tcW w:w="5303" w:type="dxa"/>
          </w:tcPr>
          <w:p w:rsidR="00096470" w:rsidRDefault="00562CE6">
            <w:pPr>
              <w:widowControl/>
              <w:spacing w:beforeLines="0" w:afterLines="0" w:line="240" w:lineRule="auto"/>
            </w:pPr>
            <w:r>
              <w:rPr>
                <w:sz w:val="20"/>
              </w:rPr>
              <w:t>NDI</w:t>
            </w:r>
          </w:p>
        </w:tc>
        <w:tc>
          <w:tcPr>
            <w:tcW w:w="2181" w:type="dxa"/>
          </w:tcPr>
          <w:p w:rsidR="00096470" w:rsidRDefault="00562CE6">
            <w:pPr>
              <w:widowControl/>
              <w:spacing w:beforeLines="0" w:afterLines="0" w:line="240" w:lineRule="auto"/>
              <w:jc w:val="center"/>
            </w:pPr>
            <w:r>
              <w:rPr>
                <w:sz w:val="20"/>
              </w:rPr>
              <w:t>1</w:t>
            </w:r>
          </w:p>
        </w:tc>
        <w:tc>
          <w:tcPr>
            <w:tcW w:w="1158" w:type="dxa"/>
          </w:tcPr>
          <w:p w:rsidR="00096470" w:rsidRDefault="00562CE6">
            <w:pPr>
              <w:widowControl/>
              <w:spacing w:beforeLines="0" w:afterLines="0" w:line="240" w:lineRule="auto"/>
              <w:jc w:val="center"/>
            </w:pPr>
            <w:r>
              <w:rPr>
                <w:rFonts w:ascii="Arial" w:hAnsi="Arial" w:cs="Arial"/>
                <w:sz w:val="20"/>
              </w:rPr>
              <w:t>√</w:t>
            </w:r>
          </w:p>
        </w:tc>
        <w:tc>
          <w:tcPr>
            <w:tcW w:w="1158" w:type="dxa"/>
          </w:tcPr>
          <w:p w:rsidR="00096470" w:rsidRDefault="00562CE6">
            <w:pPr>
              <w:widowControl/>
              <w:spacing w:beforeLines="0" w:afterLines="0" w:line="240" w:lineRule="auto"/>
              <w:jc w:val="center"/>
              <w:rPr>
                <w:rFonts w:ascii="Arial" w:hAnsi="Arial" w:cs="Arial"/>
                <w:sz w:val="20"/>
              </w:rPr>
            </w:pPr>
            <w:r>
              <w:rPr>
                <w:rFonts w:ascii="Arial" w:hAnsi="Arial" w:cs="Arial"/>
                <w:sz w:val="20"/>
              </w:rPr>
              <w:t>√</w:t>
            </w:r>
          </w:p>
        </w:tc>
      </w:tr>
      <w:tr w:rsidR="00096470">
        <w:trPr>
          <w:jc w:val="center"/>
        </w:trPr>
        <w:tc>
          <w:tcPr>
            <w:tcW w:w="5303" w:type="dxa"/>
          </w:tcPr>
          <w:p w:rsidR="00096470" w:rsidRDefault="00562CE6">
            <w:pPr>
              <w:widowControl/>
              <w:spacing w:beforeLines="0" w:afterLines="0" w:line="240" w:lineRule="auto"/>
            </w:pPr>
            <w:r>
              <w:rPr>
                <w:sz w:val="20"/>
              </w:rPr>
              <w:t>RV</w:t>
            </w:r>
          </w:p>
        </w:tc>
        <w:tc>
          <w:tcPr>
            <w:tcW w:w="2181" w:type="dxa"/>
          </w:tcPr>
          <w:p w:rsidR="00096470" w:rsidRDefault="00562CE6">
            <w:pPr>
              <w:widowControl/>
              <w:spacing w:beforeLines="0" w:afterLines="0" w:line="240" w:lineRule="auto"/>
              <w:jc w:val="center"/>
            </w:pPr>
            <w:r>
              <w:rPr>
                <w:sz w:val="20"/>
              </w:rPr>
              <w:t>2</w:t>
            </w:r>
          </w:p>
        </w:tc>
        <w:tc>
          <w:tcPr>
            <w:tcW w:w="1158" w:type="dxa"/>
          </w:tcPr>
          <w:p w:rsidR="00096470" w:rsidRDefault="00562CE6">
            <w:pPr>
              <w:widowControl/>
              <w:spacing w:beforeLines="0" w:afterLines="0" w:line="240" w:lineRule="auto"/>
              <w:jc w:val="center"/>
            </w:pPr>
            <w:r>
              <w:rPr>
                <w:rFonts w:ascii="Arial" w:hAnsi="Arial" w:cs="Arial"/>
                <w:sz w:val="20"/>
              </w:rPr>
              <w:t>√</w:t>
            </w:r>
          </w:p>
        </w:tc>
        <w:tc>
          <w:tcPr>
            <w:tcW w:w="1158" w:type="dxa"/>
          </w:tcPr>
          <w:p w:rsidR="00096470" w:rsidRDefault="00562CE6">
            <w:pPr>
              <w:widowControl/>
              <w:spacing w:beforeLines="0" w:afterLines="0" w:line="240" w:lineRule="auto"/>
              <w:jc w:val="center"/>
              <w:rPr>
                <w:rFonts w:ascii="Arial" w:hAnsi="Arial" w:cs="Arial"/>
                <w:sz w:val="20"/>
              </w:rPr>
            </w:pPr>
            <w:r>
              <w:rPr>
                <w:rFonts w:ascii="Arial" w:hAnsi="Arial" w:cs="Arial"/>
                <w:sz w:val="20"/>
              </w:rPr>
              <w:t>√</w:t>
            </w:r>
          </w:p>
        </w:tc>
      </w:tr>
      <w:tr w:rsidR="00096470">
        <w:trPr>
          <w:jc w:val="center"/>
        </w:trPr>
        <w:tc>
          <w:tcPr>
            <w:tcW w:w="5303" w:type="dxa"/>
          </w:tcPr>
          <w:p w:rsidR="00096470" w:rsidRDefault="00562CE6">
            <w:pPr>
              <w:widowControl/>
              <w:spacing w:beforeLines="0" w:afterLines="0" w:line="240" w:lineRule="auto"/>
            </w:pPr>
            <w:r>
              <w:rPr>
                <w:sz w:val="20"/>
              </w:rPr>
              <w:t>MCS</w:t>
            </w:r>
          </w:p>
        </w:tc>
        <w:tc>
          <w:tcPr>
            <w:tcW w:w="2181" w:type="dxa"/>
          </w:tcPr>
          <w:p w:rsidR="00096470" w:rsidRDefault="00562CE6">
            <w:pPr>
              <w:widowControl/>
              <w:spacing w:beforeLines="0" w:afterLines="0" w:line="240" w:lineRule="auto"/>
              <w:jc w:val="center"/>
            </w:pPr>
            <w:r>
              <w:rPr>
                <w:sz w:val="20"/>
              </w:rPr>
              <w:t>5</w:t>
            </w:r>
          </w:p>
        </w:tc>
        <w:tc>
          <w:tcPr>
            <w:tcW w:w="1158" w:type="dxa"/>
          </w:tcPr>
          <w:p w:rsidR="00096470" w:rsidRDefault="00562CE6">
            <w:pPr>
              <w:widowControl/>
              <w:spacing w:beforeLines="0" w:afterLines="0" w:line="240" w:lineRule="auto"/>
              <w:jc w:val="center"/>
            </w:pPr>
            <w:r>
              <w:rPr>
                <w:rFonts w:ascii="Arial" w:hAnsi="Arial" w:cs="Arial"/>
                <w:sz w:val="20"/>
              </w:rPr>
              <w:t>√</w:t>
            </w:r>
          </w:p>
        </w:tc>
        <w:tc>
          <w:tcPr>
            <w:tcW w:w="1158" w:type="dxa"/>
          </w:tcPr>
          <w:p w:rsidR="00096470" w:rsidRDefault="00562CE6">
            <w:pPr>
              <w:widowControl/>
              <w:spacing w:beforeLines="0" w:afterLines="0" w:line="240" w:lineRule="auto"/>
              <w:jc w:val="center"/>
              <w:rPr>
                <w:rFonts w:ascii="Arial" w:hAnsi="Arial" w:cs="Arial"/>
                <w:sz w:val="20"/>
              </w:rPr>
            </w:pPr>
            <w:r>
              <w:rPr>
                <w:rFonts w:ascii="Arial" w:hAnsi="Arial" w:cs="Arial"/>
                <w:sz w:val="20"/>
              </w:rPr>
              <w:t>√</w:t>
            </w:r>
          </w:p>
        </w:tc>
      </w:tr>
      <w:tr w:rsidR="00096470">
        <w:trPr>
          <w:jc w:val="center"/>
        </w:trPr>
        <w:tc>
          <w:tcPr>
            <w:tcW w:w="5303" w:type="dxa"/>
            <w:shd w:val="clear" w:color="auto" w:fill="auto"/>
          </w:tcPr>
          <w:p w:rsidR="00096470" w:rsidRDefault="00562CE6">
            <w:pPr>
              <w:widowControl/>
              <w:spacing w:beforeLines="0" w:afterLines="0" w:line="240" w:lineRule="auto"/>
              <w:jc w:val="distribute"/>
            </w:pPr>
            <w:r>
              <w:rPr>
                <w:sz w:val="20"/>
              </w:rPr>
              <w:t>CSI request</w:t>
            </w:r>
            <w:r>
              <w:rPr>
                <w:rFonts w:hint="eastAsia"/>
                <w:sz w:val="20"/>
              </w:rPr>
              <w:t xml:space="preserve">                                   </w:t>
            </w:r>
            <w:r>
              <w:rPr>
                <w:sz w:val="20"/>
              </w:rPr>
              <w:t xml:space="preserve"> </w:t>
            </w:r>
            <w:r>
              <w:rPr>
                <w:rFonts w:hint="eastAsia"/>
                <w:sz w:val="20"/>
              </w:rPr>
              <w:t>(TBD)</w:t>
            </w:r>
          </w:p>
        </w:tc>
        <w:tc>
          <w:tcPr>
            <w:tcW w:w="2181" w:type="dxa"/>
            <w:shd w:val="clear" w:color="auto" w:fill="auto"/>
          </w:tcPr>
          <w:p w:rsidR="00096470" w:rsidRDefault="00562CE6">
            <w:pPr>
              <w:widowControl/>
              <w:spacing w:beforeLines="0" w:afterLines="0" w:line="240" w:lineRule="auto"/>
              <w:jc w:val="center"/>
            </w:pPr>
            <w:r>
              <w:rPr>
                <w:sz w:val="20"/>
              </w:rPr>
              <w:t>~ 2</w:t>
            </w:r>
          </w:p>
        </w:tc>
        <w:tc>
          <w:tcPr>
            <w:tcW w:w="1158" w:type="dxa"/>
            <w:shd w:val="clear" w:color="auto" w:fill="auto"/>
          </w:tcPr>
          <w:p w:rsidR="00096470" w:rsidRDefault="00096470">
            <w:pPr>
              <w:widowControl/>
              <w:spacing w:beforeLines="0" w:afterLines="0" w:line="240" w:lineRule="auto"/>
              <w:jc w:val="center"/>
            </w:pPr>
          </w:p>
        </w:tc>
        <w:tc>
          <w:tcPr>
            <w:tcW w:w="1158" w:type="dxa"/>
            <w:shd w:val="clear" w:color="auto" w:fill="auto"/>
          </w:tcPr>
          <w:p w:rsidR="00096470" w:rsidRDefault="00562CE6">
            <w:pPr>
              <w:widowControl/>
              <w:spacing w:beforeLines="0" w:afterLines="0" w:line="240" w:lineRule="auto"/>
              <w:jc w:val="center"/>
            </w:pPr>
            <w:r>
              <w:rPr>
                <w:rFonts w:ascii="Arial" w:hAnsi="Arial" w:cs="Arial"/>
                <w:sz w:val="20"/>
              </w:rPr>
              <w:t>√</w:t>
            </w:r>
          </w:p>
        </w:tc>
      </w:tr>
      <w:tr w:rsidR="00096470">
        <w:trPr>
          <w:jc w:val="center"/>
        </w:trPr>
        <w:tc>
          <w:tcPr>
            <w:tcW w:w="5303" w:type="dxa"/>
            <w:shd w:val="clear" w:color="auto" w:fill="auto"/>
          </w:tcPr>
          <w:p w:rsidR="00096470" w:rsidRDefault="00562CE6">
            <w:pPr>
              <w:widowControl/>
              <w:spacing w:beforeLines="0" w:afterLines="0" w:line="240" w:lineRule="auto"/>
              <w:jc w:val="distribute"/>
            </w:pPr>
            <w:r>
              <w:rPr>
                <w:sz w:val="20"/>
              </w:rPr>
              <w:lastRenderedPageBreak/>
              <w:t>CSI transmission indication</w:t>
            </w:r>
            <w:r>
              <w:rPr>
                <w:rFonts w:hint="eastAsia"/>
                <w:sz w:val="20"/>
              </w:rPr>
              <w:t xml:space="preserve">                     </w:t>
            </w:r>
            <w:r>
              <w:rPr>
                <w:sz w:val="20"/>
              </w:rPr>
              <w:t xml:space="preserve">  </w:t>
            </w:r>
            <w:r>
              <w:rPr>
                <w:rFonts w:hint="eastAsia"/>
                <w:sz w:val="20"/>
              </w:rPr>
              <w:t>(TBD)</w:t>
            </w:r>
          </w:p>
        </w:tc>
        <w:tc>
          <w:tcPr>
            <w:tcW w:w="2181" w:type="dxa"/>
            <w:shd w:val="clear" w:color="auto" w:fill="auto"/>
          </w:tcPr>
          <w:p w:rsidR="00096470" w:rsidRDefault="00562CE6">
            <w:pPr>
              <w:widowControl/>
              <w:spacing w:beforeLines="0" w:afterLines="0" w:line="240" w:lineRule="auto"/>
              <w:jc w:val="center"/>
            </w:pPr>
            <w:r>
              <w:rPr>
                <w:sz w:val="20"/>
              </w:rPr>
              <w:t>~ 2</w:t>
            </w:r>
          </w:p>
        </w:tc>
        <w:tc>
          <w:tcPr>
            <w:tcW w:w="1158" w:type="dxa"/>
            <w:shd w:val="clear" w:color="auto" w:fill="auto"/>
          </w:tcPr>
          <w:p w:rsidR="00096470" w:rsidRDefault="00096470">
            <w:pPr>
              <w:widowControl/>
              <w:spacing w:beforeLines="0" w:afterLines="0" w:line="240" w:lineRule="auto"/>
              <w:jc w:val="center"/>
            </w:pPr>
          </w:p>
        </w:tc>
        <w:tc>
          <w:tcPr>
            <w:tcW w:w="1158" w:type="dxa"/>
            <w:shd w:val="clear" w:color="auto" w:fill="auto"/>
          </w:tcPr>
          <w:p w:rsidR="00096470" w:rsidRDefault="00562CE6">
            <w:pPr>
              <w:widowControl/>
              <w:spacing w:beforeLines="0" w:afterLines="0" w:line="240" w:lineRule="auto"/>
              <w:jc w:val="center"/>
            </w:pPr>
            <w:r>
              <w:rPr>
                <w:rFonts w:ascii="Arial" w:hAnsi="Arial" w:cs="Arial"/>
                <w:sz w:val="20"/>
              </w:rPr>
              <w:t>√</w:t>
            </w:r>
          </w:p>
        </w:tc>
      </w:tr>
      <w:tr w:rsidR="00096470">
        <w:trPr>
          <w:jc w:val="center"/>
        </w:trPr>
        <w:tc>
          <w:tcPr>
            <w:tcW w:w="5303" w:type="dxa"/>
            <w:shd w:val="clear" w:color="auto" w:fill="auto"/>
          </w:tcPr>
          <w:p w:rsidR="00096470" w:rsidRDefault="00562CE6">
            <w:pPr>
              <w:widowControl/>
              <w:spacing w:beforeLines="0" w:afterLines="0" w:line="240" w:lineRule="auto"/>
              <w:jc w:val="distribute"/>
            </w:pPr>
            <w:r>
              <w:rPr>
                <w:sz w:val="20"/>
              </w:rPr>
              <w:t>PTRS</w:t>
            </w:r>
            <w:r>
              <w:rPr>
                <w:rFonts w:hint="eastAsia"/>
                <w:sz w:val="20"/>
              </w:rPr>
              <w:t xml:space="preserve">  </w:t>
            </w:r>
            <w:r>
              <w:rPr>
                <w:sz w:val="20"/>
              </w:rPr>
              <w:t xml:space="preserve">    </w:t>
            </w:r>
            <w:r>
              <w:rPr>
                <w:rFonts w:hint="eastAsia"/>
                <w:sz w:val="20"/>
              </w:rPr>
              <w:t xml:space="preserve">                            </w:t>
            </w:r>
            <w:r>
              <w:rPr>
                <w:sz w:val="20"/>
              </w:rPr>
              <w:t xml:space="preserve">   </w:t>
            </w:r>
            <w:r>
              <w:rPr>
                <w:rFonts w:hint="eastAsia"/>
                <w:sz w:val="20"/>
              </w:rPr>
              <w:t>(optional)</w:t>
            </w:r>
          </w:p>
        </w:tc>
        <w:tc>
          <w:tcPr>
            <w:tcW w:w="2181" w:type="dxa"/>
            <w:shd w:val="clear" w:color="auto" w:fill="auto"/>
          </w:tcPr>
          <w:p w:rsidR="00096470" w:rsidRDefault="00562CE6">
            <w:pPr>
              <w:widowControl/>
              <w:spacing w:beforeLines="0" w:afterLines="0" w:line="240" w:lineRule="auto"/>
              <w:jc w:val="center"/>
            </w:pPr>
            <w:r>
              <w:rPr>
                <w:rFonts w:hint="eastAsia"/>
                <w:sz w:val="20"/>
              </w:rPr>
              <w:t>1</w:t>
            </w:r>
          </w:p>
        </w:tc>
        <w:tc>
          <w:tcPr>
            <w:tcW w:w="1158" w:type="dxa"/>
            <w:shd w:val="clear" w:color="auto" w:fill="auto"/>
          </w:tcPr>
          <w:p w:rsidR="00096470" w:rsidRDefault="00096470">
            <w:pPr>
              <w:widowControl/>
              <w:spacing w:beforeLines="0" w:afterLines="0" w:line="240" w:lineRule="auto"/>
              <w:jc w:val="center"/>
            </w:pPr>
          </w:p>
        </w:tc>
        <w:tc>
          <w:tcPr>
            <w:tcW w:w="1158" w:type="dxa"/>
            <w:shd w:val="clear" w:color="auto" w:fill="auto"/>
          </w:tcPr>
          <w:p w:rsidR="00096470" w:rsidRDefault="00562CE6">
            <w:pPr>
              <w:widowControl/>
              <w:spacing w:beforeLines="0" w:afterLines="0" w:line="240" w:lineRule="auto"/>
              <w:jc w:val="center"/>
            </w:pPr>
            <w:r>
              <w:rPr>
                <w:rFonts w:ascii="Arial" w:hAnsi="Arial" w:cs="Arial"/>
                <w:sz w:val="20"/>
              </w:rPr>
              <w:t>√</w:t>
            </w:r>
          </w:p>
        </w:tc>
      </w:tr>
      <w:tr w:rsidR="00096470">
        <w:trPr>
          <w:jc w:val="center"/>
        </w:trPr>
        <w:tc>
          <w:tcPr>
            <w:tcW w:w="5303" w:type="dxa"/>
            <w:shd w:val="clear" w:color="auto" w:fill="auto"/>
          </w:tcPr>
          <w:p w:rsidR="00096470" w:rsidRDefault="00562CE6">
            <w:pPr>
              <w:widowControl/>
              <w:spacing w:beforeLines="0" w:afterLines="0" w:line="240" w:lineRule="auto"/>
              <w:jc w:val="left"/>
            </w:pPr>
            <w:r>
              <w:rPr>
                <w:sz w:val="20"/>
              </w:rPr>
              <w:t>Location info</w:t>
            </w:r>
            <w:r>
              <w:rPr>
                <w:rFonts w:hint="eastAsia"/>
                <w:sz w:val="20"/>
              </w:rPr>
              <w:t>rmation</w:t>
            </w:r>
          </w:p>
        </w:tc>
        <w:tc>
          <w:tcPr>
            <w:tcW w:w="2181" w:type="dxa"/>
            <w:shd w:val="clear" w:color="auto" w:fill="auto"/>
          </w:tcPr>
          <w:p w:rsidR="00096470" w:rsidRDefault="00562CE6">
            <w:pPr>
              <w:widowControl/>
              <w:spacing w:beforeLines="0" w:afterLines="0" w:line="240" w:lineRule="auto"/>
              <w:jc w:val="center"/>
            </w:pPr>
            <w:r>
              <w:rPr>
                <w:sz w:val="20"/>
              </w:rPr>
              <w:t>~ 8</w:t>
            </w:r>
          </w:p>
        </w:tc>
        <w:tc>
          <w:tcPr>
            <w:tcW w:w="1158" w:type="dxa"/>
            <w:shd w:val="clear" w:color="auto" w:fill="auto"/>
          </w:tcPr>
          <w:p w:rsidR="00096470" w:rsidRDefault="00096470">
            <w:pPr>
              <w:widowControl/>
              <w:spacing w:beforeLines="0" w:afterLines="0" w:line="240" w:lineRule="auto"/>
              <w:jc w:val="center"/>
            </w:pPr>
          </w:p>
        </w:tc>
        <w:tc>
          <w:tcPr>
            <w:tcW w:w="1158" w:type="dxa"/>
            <w:shd w:val="clear" w:color="auto" w:fill="auto"/>
          </w:tcPr>
          <w:p w:rsidR="00096470" w:rsidRDefault="00562CE6">
            <w:pPr>
              <w:widowControl/>
              <w:spacing w:beforeLines="0" w:afterLines="0" w:line="240" w:lineRule="auto"/>
              <w:jc w:val="center"/>
            </w:pPr>
            <w:r>
              <w:rPr>
                <w:rFonts w:ascii="Arial" w:hAnsi="Arial" w:cs="Arial"/>
                <w:sz w:val="20"/>
              </w:rPr>
              <w:t>√</w:t>
            </w:r>
          </w:p>
        </w:tc>
      </w:tr>
      <w:tr w:rsidR="00096470">
        <w:trPr>
          <w:jc w:val="center"/>
        </w:trPr>
        <w:tc>
          <w:tcPr>
            <w:tcW w:w="5303" w:type="dxa"/>
            <w:shd w:val="clear" w:color="auto" w:fill="auto"/>
          </w:tcPr>
          <w:p w:rsidR="00096470" w:rsidRDefault="00562CE6">
            <w:pPr>
              <w:widowControl/>
              <w:spacing w:beforeLines="0" w:afterLines="0" w:line="240" w:lineRule="auto"/>
            </w:pPr>
            <w:r>
              <w:rPr>
                <w:sz w:val="20"/>
              </w:rPr>
              <w:t xml:space="preserve">CRC </w:t>
            </w:r>
          </w:p>
        </w:tc>
        <w:tc>
          <w:tcPr>
            <w:tcW w:w="2181" w:type="dxa"/>
            <w:shd w:val="clear" w:color="auto" w:fill="auto"/>
          </w:tcPr>
          <w:p w:rsidR="00096470" w:rsidRDefault="00562CE6">
            <w:pPr>
              <w:widowControl/>
              <w:spacing w:beforeLines="0" w:afterLines="0" w:line="240" w:lineRule="auto"/>
              <w:jc w:val="center"/>
              <w:rPr>
                <w:sz w:val="20"/>
              </w:rPr>
            </w:pPr>
            <w:r>
              <w:rPr>
                <w:sz w:val="20"/>
              </w:rPr>
              <w:t>24</w:t>
            </w:r>
          </w:p>
        </w:tc>
        <w:tc>
          <w:tcPr>
            <w:tcW w:w="1158" w:type="dxa"/>
            <w:shd w:val="clear" w:color="auto" w:fill="auto"/>
          </w:tcPr>
          <w:p w:rsidR="00096470" w:rsidRDefault="00562CE6">
            <w:pPr>
              <w:widowControl/>
              <w:spacing w:beforeLines="0" w:afterLines="0" w:line="240" w:lineRule="auto"/>
              <w:jc w:val="center"/>
              <w:rPr>
                <w:sz w:val="20"/>
              </w:rPr>
            </w:pPr>
            <w:r>
              <w:rPr>
                <w:sz w:val="20"/>
              </w:rPr>
              <w:t>√</w:t>
            </w:r>
          </w:p>
        </w:tc>
        <w:tc>
          <w:tcPr>
            <w:tcW w:w="1158" w:type="dxa"/>
            <w:shd w:val="clear" w:color="auto" w:fill="auto"/>
          </w:tcPr>
          <w:p w:rsidR="00096470" w:rsidRDefault="00562CE6">
            <w:pPr>
              <w:widowControl/>
              <w:spacing w:beforeLines="0" w:afterLines="0" w:line="240" w:lineRule="auto"/>
              <w:jc w:val="center"/>
              <w:rPr>
                <w:sz w:val="20"/>
              </w:rPr>
            </w:pPr>
            <w:r>
              <w:rPr>
                <w:sz w:val="20"/>
              </w:rPr>
              <w:t>√</w:t>
            </w:r>
          </w:p>
        </w:tc>
      </w:tr>
      <w:tr w:rsidR="00096470">
        <w:trPr>
          <w:jc w:val="center"/>
        </w:trPr>
        <w:tc>
          <w:tcPr>
            <w:tcW w:w="7484" w:type="dxa"/>
            <w:gridSpan w:val="2"/>
            <w:shd w:val="clear" w:color="auto" w:fill="auto"/>
          </w:tcPr>
          <w:p w:rsidR="00096470" w:rsidRDefault="00562CE6">
            <w:pPr>
              <w:widowControl/>
              <w:spacing w:beforeLines="0" w:afterLines="0" w:line="240" w:lineRule="auto"/>
              <w:jc w:val="left"/>
              <w:rPr>
                <w:sz w:val="20"/>
              </w:rPr>
            </w:pPr>
            <w:r>
              <w:rPr>
                <w:sz w:val="20"/>
              </w:rPr>
              <w:t>Total</w:t>
            </w:r>
          </w:p>
        </w:tc>
        <w:tc>
          <w:tcPr>
            <w:tcW w:w="1158" w:type="dxa"/>
            <w:shd w:val="clear" w:color="auto" w:fill="auto"/>
          </w:tcPr>
          <w:p w:rsidR="00096470" w:rsidRDefault="00562CE6">
            <w:pPr>
              <w:widowControl/>
              <w:spacing w:beforeLines="0" w:afterLines="0" w:line="240" w:lineRule="auto"/>
              <w:jc w:val="center"/>
              <w:rPr>
                <w:sz w:val="20"/>
              </w:rPr>
            </w:pPr>
            <w:r>
              <w:rPr>
                <w:sz w:val="20"/>
              </w:rPr>
              <w:t xml:space="preserve">~ </w:t>
            </w:r>
            <w:r>
              <w:rPr>
                <w:rFonts w:hint="eastAsia"/>
                <w:sz w:val="20"/>
              </w:rPr>
              <w:t>44</w:t>
            </w:r>
          </w:p>
        </w:tc>
        <w:tc>
          <w:tcPr>
            <w:tcW w:w="1158" w:type="dxa"/>
            <w:shd w:val="clear" w:color="auto" w:fill="auto"/>
          </w:tcPr>
          <w:p w:rsidR="00096470" w:rsidRDefault="00562CE6">
            <w:pPr>
              <w:widowControl/>
              <w:spacing w:beforeLines="0" w:afterLines="0" w:line="240" w:lineRule="auto"/>
              <w:jc w:val="center"/>
              <w:rPr>
                <w:sz w:val="20"/>
              </w:rPr>
            </w:pPr>
            <w:r>
              <w:rPr>
                <w:sz w:val="20"/>
              </w:rPr>
              <w:t>~57</w:t>
            </w:r>
          </w:p>
        </w:tc>
      </w:tr>
    </w:tbl>
    <w:p w:rsidR="00096470" w:rsidRDefault="001E4987">
      <w:pPr>
        <w:spacing w:before="120" w:after="120"/>
        <w:rPr>
          <w:sz w:val="20"/>
        </w:rPr>
      </w:pPr>
      <w:r>
        <w:rPr>
          <w:sz w:val="20"/>
        </w:rPr>
        <w:t>When supporting multiple</w:t>
      </w:r>
      <w:r w:rsidR="00562CE6">
        <w:rPr>
          <w:rFonts w:hint="eastAsia"/>
          <w:sz w:val="20"/>
        </w:rPr>
        <w:t xml:space="preserve"> 2</w:t>
      </w:r>
      <w:r w:rsidR="00562CE6">
        <w:rPr>
          <w:rFonts w:hint="eastAsia"/>
          <w:sz w:val="20"/>
          <w:vertAlign w:val="superscript"/>
        </w:rPr>
        <w:t>nd</w:t>
      </w:r>
      <w:r w:rsidR="00562CE6">
        <w:rPr>
          <w:rFonts w:hint="eastAsia"/>
          <w:sz w:val="20"/>
        </w:rPr>
        <w:t xml:space="preserve"> </w:t>
      </w:r>
      <w:r>
        <w:rPr>
          <w:sz w:val="20"/>
        </w:rPr>
        <w:t xml:space="preserve">stage </w:t>
      </w:r>
      <w:r w:rsidR="00562CE6">
        <w:rPr>
          <w:rFonts w:hint="eastAsia"/>
          <w:sz w:val="20"/>
        </w:rPr>
        <w:t>SCI formats, a general multiplexing rules of 2</w:t>
      </w:r>
      <w:r w:rsidR="00562CE6">
        <w:rPr>
          <w:rFonts w:hint="eastAsia"/>
          <w:sz w:val="20"/>
          <w:vertAlign w:val="superscript"/>
        </w:rPr>
        <w:t>nd</w:t>
      </w:r>
      <w:r w:rsidR="00562CE6">
        <w:rPr>
          <w:rFonts w:hint="eastAsia"/>
          <w:sz w:val="20"/>
        </w:rPr>
        <w:t xml:space="preserve"> SCI on PSSCH resource should avoid unnecessary complexity of 2</w:t>
      </w:r>
      <w:r w:rsidR="00562CE6">
        <w:rPr>
          <w:rFonts w:hint="eastAsia"/>
          <w:sz w:val="20"/>
          <w:vertAlign w:val="superscript"/>
        </w:rPr>
        <w:t>nd</w:t>
      </w:r>
      <w:r w:rsidR="00562CE6">
        <w:rPr>
          <w:rFonts w:hint="eastAsia"/>
          <w:sz w:val="20"/>
        </w:rPr>
        <w:t xml:space="preserve"> SCI decoding. </w:t>
      </w:r>
      <w:r>
        <w:rPr>
          <w:sz w:val="20"/>
        </w:rPr>
        <w:t>Given</w:t>
      </w:r>
      <w:r w:rsidR="00562CE6">
        <w:rPr>
          <w:rFonts w:hint="eastAsia"/>
          <w:sz w:val="20"/>
        </w:rPr>
        <w:t xml:space="preserve"> </w:t>
      </w:r>
      <w:r>
        <w:rPr>
          <w:sz w:val="20"/>
        </w:rPr>
        <w:t xml:space="preserve">the </w:t>
      </w:r>
      <w:r w:rsidR="00562CE6">
        <w:rPr>
          <w:rFonts w:hint="eastAsia"/>
          <w:sz w:val="20"/>
        </w:rPr>
        <w:t>overhead of 2</w:t>
      </w:r>
      <w:r w:rsidR="00562CE6">
        <w:rPr>
          <w:rFonts w:hint="eastAsia"/>
          <w:sz w:val="20"/>
          <w:vertAlign w:val="superscript"/>
        </w:rPr>
        <w:t>nd</w:t>
      </w:r>
      <w:r w:rsidR="00562CE6">
        <w:rPr>
          <w:rFonts w:hint="eastAsia"/>
          <w:sz w:val="20"/>
        </w:rPr>
        <w:t xml:space="preserve"> SCI is </w:t>
      </w:r>
      <w:r>
        <w:rPr>
          <w:sz w:val="20"/>
        </w:rPr>
        <w:t xml:space="preserve">roughly </w:t>
      </w:r>
      <w:r w:rsidR="00562CE6">
        <w:rPr>
          <w:rFonts w:hint="eastAsia"/>
          <w:sz w:val="20"/>
        </w:rPr>
        <w:t>around 40bits which is far more than 2 bits A/N, the multiplexing scheme of 2</w:t>
      </w:r>
      <w:r w:rsidR="00562CE6">
        <w:rPr>
          <w:rFonts w:hint="eastAsia"/>
          <w:sz w:val="20"/>
          <w:vertAlign w:val="superscript"/>
        </w:rPr>
        <w:t>nd</w:t>
      </w:r>
      <w:r w:rsidR="00562CE6">
        <w:rPr>
          <w:rFonts w:hint="eastAsia"/>
          <w:sz w:val="20"/>
        </w:rPr>
        <w:t xml:space="preserve"> SCI should </w:t>
      </w:r>
      <w:r>
        <w:rPr>
          <w:rFonts w:hint="eastAsia"/>
          <w:sz w:val="20"/>
        </w:rPr>
        <w:t xml:space="preserve">follow UCI containing </w:t>
      </w:r>
      <w:r w:rsidR="00562CE6">
        <w:rPr>
          <w:rFonts w:hint="eastAsia"/>
          <w:sz w:val="20"/>
        </w:rPr>
        <w:t xml:space="preserve">A/N </w:t>
      </w:r>
      <w:r>
        <w:rPr>
          <w:sz w:val="20"/>
        </w:rPr>
        <w:t xml:space="preserve">of </w:t>
      </w:r>
      <w:r w:rsidR="00562CE6">
        <w:rPr>
          <w:rFonts w:hint="eastAsia"/>
          <w:sz w:val="20"/>
        </w:rPr>
        <w:t>more than 2 bits or CSI on PUSCH</w:t>
      </w:r>
      <w:r>
        <w:rPr>
          <w:rFonts w:hint="eastAsia"/>
          <w:sz w:val="20"/>
        </w:rPr>
        <w:t>,</w:t>
      </w:r>
      <w:r w:rsidR="00562CE6">
        <w:rPr>
          <w:rFonts w:hint="eastAsia"/>
          <w:sz w:val="20"/>
        </w:rPr>
        <w:t xml:space="preserve"> as </w:t>
      </w:r>
      <w:r>
        <w:rPr>
          <w:sz w:val="20"/>
        </w:rPr>
        <w:t xml:space="preserve">a </w:t>
      </w:r>
      <w:r w:rsidR="00562CE6">
        <w:rPr>
          <w:rFonts w:hint="eastAsia"/>
          <w:sz w:val="20"/>
        </w:rPr>
        <w:t>start</w:t>
      </w:r>
      <w:r>
        <w:rPr>
          <w:sz w:val="20"/>
        </w:rPr>
        <w:t>ing</w:t>
      </w:r>
      <w:r w:rsidR="00562CE6">
        <w:rPr>
          <w:rFonts w:hint="eastAsia"/>
          <w:sz w:val="20"/>
        </w:rPr>
        <w:t xml:space="preserve"> point. </w:t>
      </w:r>
    </w:p>
    <w:p w:rsidR="00096470" w:rsidRDefault="00562CE6">
      <w:pPr>
        <w:spacing w:before="120" w:after="120"/>
      </w:pPr>
      <w:r>
        <w:rPr>
          <w:rFonts w:hint="eastAsia"/>
          <w:sz w:val="20"/>
        </w:rPr>
        <w:t>To identify the 2</w:t>
      </w:r>
      <w:r>
        <w:rPr>
          <w:rFonts w:hint="eastAsia"/>
          <w:sz w:val="20"/>
          <w:vertAlign w:val="superscript"/>
        </w:rPr>
        <w:t>nd</w:t>
      </w:r>
      <w:r>
        <w:rPr>
          <w:rFonts w:hint="eastAsia"/>
          <w:sz w:val="20"/>
        </w:rPr>
        <w:t xml:space="preserve"> SCI format carried on PSSCH, an indicator should be </w:t>
      </w:r>
      <w:r w:rsidR="001E4987">
        <w:rPr>
          <w:sz w:val="20"/>
        </w:rPr>
        <w:t>contained</w:t>
      </w:r>
      <w:r>
        <w:rPr>
          <w:rFonts w:hint="eastAsia"/>
          <w:sz w:val="20"/>
        </w:rPr>
        <w:t xml:space="preserve"> in 1</w:t>
      </w:r>
      <w:r>
        <w:rPr>
          <w:rFonts w:hint="eastAsia"/>
          <w:sz w:val="20"/>
          <w:vertAlign w:val="superscript"/>
        </w:rPr>
        <w:t>st</w:t>
      </w:r>
      <w:r>
        <w:rPr>
          <w:rFonts w:hint="eastAsia"/>
          <w:sz w:val="20"/>
        </w:rPr>
        <w:t xml:space="preserve"> </w:t>
      </w:r>
      <w:r w:rsidR="001E4987">
        <w:rPr>
          <w:sz w:val="20"/>
        </w:rPr>
        <w:t xml:space="preserve">stage </w:t>
      </w:r>
      <w:r>
        <w:rPr>
          <w:rFonts w:hint="eastAsia"/>
          <w:sz w:val="20"/>
        </w:rPr>
        <w:t>SCI. Based on the indication, UE can decod</w:t>
      </w:r>
      <w:r w:rsidR="001E4987">
        <w:rPr>
          <w:rFonts w:hint="eastAsia"/>
          <w:sz w:val="20"/>
        </w:rPr>
        <w:t>e</w:t>
      </w:r>
      <w:r>
        <w:rPr>
          <w:rFonts w:hint="eastAsia"/>
          <w:sz w:val="20"/>
        </w:rPr>
        <w:t xml:space="preserve"> 2</w:t>
      </w:r>
      <w:r>
        <w:rPr>
          <w:rFonts w:hint="eastAsia"/>
          <w:sz w:val="20"/>
          <w:vertAlign w:val="superscript"/>
        </w:rPr>
        <w:t>nd</w:t>
      </w:r>
      <w:r>
        <w:rPr>
          <w:rFonts w:hint="eastAsia"/>
          <w:sz w:val="20"/>
        </w:rPr>
        <w:t xml:space="preserve"> SCI according to certain multiplexing rule.</w:t>
      </w:r>
    </w:p>
    <w:p w:rsidR="00096470" w:rsidRDefault="00562CE6">
      <w:pPr>
        <w:pStyle w:val="YJ-Proposal"/>
        <w:spacing w:before="120" w:after="120"/>
        <w:rPr>
          <w:lang w:val="en-US" w:eastAsia="zh-CN"/>
        </w:rPr>
      </w:pPr>
      <w:bookmarkStart w:id="232" w:name="_Toc20774586"/>
      <w:r>
        <w:rPr>
          <w:rFonts w:hint="eastAsia"/>
          <w:szCs w:val="22"/>
          <w:lang w:val="en-US" w:eastAsia="zh-CN"/>
        </w:rPr>
        <w:t>Several 2</w:t>
      </w:r>
      <w:r>
        <w:rPr>
          <w:rFonts w:hint="eastAsia"/>
          <w:szCs w:val="22"/>
          <w:vertAlign w:val="superscript"/>
          <w:lang w:val="en-US" w:eastAsia="zh-CN"/>
        </w:rPr>
        <w:t>nd</w:t>
      </w:r>
      <w:r>
        <w:rPr>
          <w:rFonts w:hint="eastAsia"/>
          <w:szCs w:val="22"/>
          <w:lang w:val="en-US" w:eastAsia="zh-CN"/>
        </w:rPr>
        <w:t xml:space="preserve"> </w:t>
      </w:r>
      <w:r w:rsidR="001E4987">
        <w:rPr>
          <w:szCs w:val="22"/>
          <w:lang w:val="en-US" w:eastAsia="zh-CN"/>
        </w:rPr>
        <w:t xml:space="preserve">stage </w:t>
      </w:r>
      <w:r>
        <w:rPr>
          <w:rFonts w:hint="eastAsia"/>
          <w:szCs w:val="22"/>
          <w:lang w:val="en-US" w:eastAsia="zh-CN"/>
        </w:rPr>
        <w:t>SCI formats with different payload size should be defined for different purposes, such as for broadcast, groupcast, unicast, etc.</w:t>
      </w:r>
      <w:bookmarkEnd w:id="232"/>
    </w:p>
    <w:p w:rsidR="00096470" w:rsidRDefault="00562CE6">
      <w:pPr>
        <w:pStyle w:val="YJ-Proposal"/>
        <w:spacing w:before="120" w:after="120"/>
        <w:rPr>
          <w:lang w:val="en-US" w:eastAsia="zh-CN"/>
        </w:rPr>
      </w:pPr>
      <w:bookmarkStart w:id="233" w:name="_Toc20774587"/>
      <w:r>
        <w:rPr>
          <w:rFonts w:hint="eastAsia"/>
          <w:szCs w:val="22"/>
          <w:lang w:val="en-US" w:eastAsia="zh-CN"/>
        </w:rPr>
        <w:t>The 2</w:t>
      </w:r>
      <w:r>
        <w:rPr>
          <w:rFonts w:hint="eastAsia"/>
          <w:szCs w:val="22"/>
          <w:vertAlign w:val="superscript"/>
          <w:lang w:val="en-US" w:eastAsia="zh-CN"/>
        </w:rPr>
        <w:t>nd</w:t>
      </w:r>
      <w:r>
        <w:rPr>
          <w:rFonts w:hint="eastAsia"/>
          <w:szCs w:val="22"/>
          <w:lang w:val="en-US" w:eastAsia="zh-CN"/>
        </w:rPr>
        <w:t xml:space="preserve"> </w:t>
      </w:r>
      <w:r w:rsidR="001E4987">
        <w:rPr>
          <w:szCs w:val="22"/>
          <w:lang w:val="en-US" w:eastAsia="zh-CN"/>
        </w:rPr>
        <w:t xml:space="preserve">stage </w:t>
      </w:r>
      <w:r>
        <w:rPr>
          <w:rFonts w:hint="eastAsia"/>
          <w:szCs w:val="22"/>
          <w:lang w:val="en-US" w:eastAsia="zh-CN"/>
        </w:rPr>
        <w:t>SCI format should be indicated in 1</w:t>
      </w:r>
      <w:r>
        <w:rPr>
          <w:rFonts w:hint="eastAsia"/>
          <w:szCs w:val="22"/>
          <w:vertAlign w:val="superscript"/>
          <w:lang w:val="en-US" w:eastAsia="zh-CN"/>
        </w:rPr>
        <w:t>st</w:t>
      </w:r>
      <w:r>
        <w:rPr>
          <w:rFonts w:hint="eastAsia"/>
          <w:szCs w:val="22"/>
          <w:lang w:val="en-US" w:eastAsia="zh-CN"/>
        </w:rPr>
        <w:t xml:space="preserve"> </w:t>
      </w:r>
      <w:r w:rsidR="001E4987">
        <w:rPr>
          <w:szCs w:val="22"/>
          <w:lang w:val="en-US" w:eastAsia="zh-CN"/>
        </w:rPr>
        <w:t xml:space="preserve">stage </w:t>
      </w:r>
      <w:r>
        <w:rPr>
          <w:rFonts w:hint="eastAsia"/>
          <w:szCs w:val="22"/>
          <w:lang w:val="en-US" w:eastAsia="zh-CN"/>
        </w:rPr>
        <w:t>SCI.</w:t>
      </w:r>
      <w:bookmarkEnd w:id="233"/>
      <w:r>
        <w:rPr>
          <w:rFonts w:hint="eastAsia"/>
          <w:szCs w:val="22"/>
          <w:lang w:val="en-US" w:eastAsia="zh-CN"/>
        </w:rPr>
        <w:t xml:space="preserve"> </w:t>
      </w:r>
    </w:p>
    <w:p w:rsidR="00096470" w:rsidRDefault="00562CE6">
      <w:pPr>
        <w:pStyle w:val="Heading1"/>
        <w:spacing w:before="120" w:after="120"/>
        <w:ind w:left="0"/>
        <w:rPr>
          <w:rFonts w:eastAsia="SimSun"/>
        </w:rPr>
      </w:pPr>
      <w:r>
        <w:rPr>
          <w:rFonts w:eastAsia="SimSun" w:hint="eastAsia"/>
        </w:rPr>
        <w:t>Conclusion</w:t>
      </w:r>
    </w:p>
    <w:p w:rsidR="00096470" w:rsidRDefault="00562CE6">
      <w:pPr>
        <w:spacing w:beforeLines="0" w:after="120" w:line="240" w:lineRule="auto"/>
        <w:rPr>
          <w:szCs w:val="22"/>
        </w:rPr>
      </w:pPr>
      <w:r>
        <w:rPr>
          <w:rFonts w:hint="eastAsia"/>
          <w:sz w:val="20"/>
        </w:rPr>
        <w:t>This paper discusses some details issues of sidelink physical structure, proposals and observations concluded as following:</w:t>
      </w:r>
    </w:p>
    <w:p w:rsidR="003D7824" w:rsidRDefault="00985DD6">
      <w:pPr>
        <w:pStyle w:val="TOC1"/>
        <w:tabs>
          <w:tab w:val="left" w:pos="1540"/>
          <w:tab w:val="right" w:leader="dot" w:pos="9650"/>
        </w:tabs>
        <w:spacing w:before="120" w:after="120"/>
        <w:rPr>
          <w:rFonts w:asciiTheme="minorHAnsi" w:hAnsiTheme="minorHAnsi" w:cstheme="minorBidi"/>
          <w:b w:val="0"/>
          <w:i w:val="0"/>
          <w:noProof/>
          <w:kern w:val="0"/>
          <w:sz w:val="22"/>
          <w:szCs w:val="22"/>
        </w:rPr>
      </w:pPr>
      <w:r w:rsidRPr="00985DD6">
        <w:rPr>
          <w:sz w:val="21"/>
          <w:szCs w:val="22"/>
        </w:rPr>
        <w:fldChar w:fldCharType="begin"/>
      </w:r>
      <w:r w:rsidR="00562CE6">
        <w:rPr>
          <w:sz w:val="21"/>
          <w:szCs w:val="22"/>
        </w:rPr>
        <w:instrText>TOC \n  \t "YJ-Observation,1,sub-observation,2" \h</w:instrText>
      </w:r>
      <w:r w:rsidRPr="00985DD6">
        <w:rPr>
          <w:sz w:val="21"/>
          <w:szCs w:val="22"/>
        </w:rPr>
        <w:fldChar w:fldCharType="separate"/>
      </w:r>
      <w:hyperlink w:anchor="_Toc20368921" w:history="1">
        <w:r w:rsidR="003D7824" w:rsidRPr="000A6140">
          <w:rPr>
            <w:rStyle w:val="Hyperlink"/>
            <w:rFonts w:eastAsia="SimSun"/>
            <w:noProof/>
          </w:rPr>
          <w:t>Observation 1:</w:t>
        </w:r>
        <w:r w:rsidR="003D7824">
          <w:rPr>
            <w:rFonts w:asciiTheme="minorHAnsi" w:hAnsiTheme="minorHAnsi" w:cstheme="minorBidi"/>
            <w:b w:val="0"/>
            <w:i w:val="0"/>
            <w:noProof/>
            <w:kern w:val="0"/>
            <w:sz w:val="22"/>
            <w:szCs w:val="22"/>
          </w:rPr>
          <w:tab/>
        </w:r>
        <w:r w:rsidR="003D7824" w:rsidRPr="000A6140">
          <w:rPr>
            <w:rStyle w:val="Hyperlink"/>
            <w:noProof/>
          </w:rPr>
          <w:t>For each SCS, the AGC procedure consumes up to one symbol.</w:t>
        </w:r>
      </w:hyperlink>
    </w:p>
    <w:p w:rsidR="00096470" w:rsidRDefault="00985DD6">
      <w:pPr>
        <w:pStyle w:val="TOC1"/>
        <w:tabs>
          <w:tab w:val="right" w:leader="dot" w:pos="9660"/>
        </w:tabs>
        <w:spacing w:before="120" w:after="120"/>
        <w:rPr>
          <w:sz w:val="21"/>
          <w:szCs w:val="22"/>
        </w:rPr>
      </w:pPr>
      <w:r>
        <w:rPr>
          <w:szCs w:val="22"/>
        </w:rPr>
        <w:fldChar w:fldCharType="end"/>
      </w:r>
    </w:p>
    <w:p w:rsidR="00024AB6" w:rsidRDefault="00985DD6" w:rsidP="00EC3E2F">
      <w:pPr>
        <w:pStyle w:val="TOC1"/>
        <w:tabs>
          <w:tab w:val="left" w:pos="1320"/>
          <w:tab w:val="right" w:leader="dot" w:pos="9650"/>
        </w:tabs>
        <w:spacing w:before="120" w:after="120"/>
        <w:rPr>
          <w:rFonts w:asciiTheme="minorHAnsi" w:hAnsiTheme="minorHAnsi" w:cstheme="minorBidi"/>
          <w:b w:val="0"/>
          <w:i w:val="0"/>
          <w:noProof/>
          <w:kern w:val="0"/>
          <w:sz w:val="22"/>
          <w:szCs w:val="22"/>
        </w:rPr>
      </w:pPr>
      <w:r w:rsidRPr="00985DD6">
        <w:rPr>
          <w:szCs w:val="22"/>
        </w:rPr>
        <w:fldChar w:fldCharType="begin"/>
      </w:r>
      <w:r w:rsidR="00562CE6">
        <w:rPr>
          <w:szCs w:val="22"/>
        </w:rPr>
        <w:instrText>TOC \n  \t "YJ-Proposal,1,sub-proposal,2" \h</w:instrText>
      </w:r>
      <w:r w:rsidRPr="00985DD6">
        <w:rPr>
          <w:szCs w:val="22"/>
        </w:rPr>
        <w:fldChar w:fldCharType="separate"/>
      </w:r>
      <w:hyperlink w:anchor="_Toc20774545" w:history="1">
        <w:r w:rsidR="00024AB6" w:rsidRPr="00EC3E2F">
          <w:rPr>
            <w:rStyle w:val="Hyperlink"/>
            <w:rFonts w:eastAsia="SimSun"/>
            <w:noProof/>
          </w:rPr>
          <w:t>Proposal 1:</w:t>
        </w:r>
        <w:r w:rsidR="00024AB6">
          <w:rPr>
            <w:rFonts w:asciiTheme="minorHAnsi" w:hAnsiTheme="minorHAnsi" w:cstheme="minorBidi"/>
            <w:b w:val="0"/>
            <w:i w:val="0"/>
            <w:noProof/>
            <w:kern w:val="0"/>
            <w:sz w:val="22"/>
            <w:szCs w:val="22"/>
          </w:rPr>
          <w:tab/>
        </w:r>
        <w:r w:rsidR="00024AB6" w:rsidRPr="00EC3E2F">
          <w:rPr>
            <w:rStyle w:val="Hyperlink"/>
            <w:noProof/>
          </w:rPr>
          <w:t>SL BWP configuration can reuse the same scheme for Uu BWP configuration, including CRB location and bandwidth, SCS and CP type.</w:t>
        </w:r>
      </w:hyperlink>
    </w:p>
    <w:p w:rsidR="00024AB6" w:rsidRDefault="00024AB6" w:rsidP="00EC3E2F">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20774546" w:history="1">
        <w:r w:rsidRPr="00EC3E2F">
          <w:rPr>
            <w:rStyle w:val="Hyperlink"/>
            <w:rFonts w:eastAsia="SimSun"/>
            <w:noProof/>
          </w:rPr>
          <w:t>Proposal 2:</w:t>
        </w:r>
        <w:r>
          <w:rPr>
            <w:rFonts w:asciiTheme="minorHAnsi" w:hAnsiTheme="minorHAnsi" w:cstheme="minorBidi"/>
            <w:b w:val="0"/>
            <w:i w:val="0"/>
            <w:noProof/>
            <w:kern w:val="0"/>
            <w:sz w:val="22"/>
            <w:szCs w:val="22"/>
          </w:rPr>
          <w:tab/>
        </w:r>
        <w:r w:rsidRPr="00EC3E2F">
          <w:rPr>
            <w:rStyle w:val="Hyperlink"/>
            <w:noProof/>
          </w:rPr>
          <w:t>PRB defined within SL BWP should be used in configuration of sidelink resource pools/sidelink channels.</w:t>
        </w:r>
      </w:hyperlink>
    </w:p>
    <w:p w:rsidR="00024AB6" w:rsidRDefault="00024AB6" w:rsidP="00EC3E2F">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20774547" w:history="1">
        <w:r w:rsidRPr="00EC3E2F">
          <w:rPr>
            <w:rStyle w:val="Hyperlink"/>
            <w:rFonts w:eastAsia="SimSun"/>
            <w:noProof/>
          </w:rPr>
          <w:t>Proposal 3:</w:t>
        </w:r>
        <w:r>
          <w:rPr>
            <w:rFonts w:asciiTheme="minorHAnsi" w:hAnsiTheme="minorHAnsi" w:cstheme="minorBidi"/>
            <w:b w:val="0"/>
            <w:i w:val="0"/>
            <w:noProof/>
            <w:kern w:val="0"/>
            <w:sz w:val="22"/>
            <w:szCs w:val="22"/>
          </w:rPr>
          <w:tab/>
        </w:r>
        <w:r w:rsidRPr="00EC3E2F">
          <w:rPr>
            <w:rStyle w:val="Hyperlink"/>
            <w:noProof/>
          </w:rPr>
          <w:t>RAN1 assumes no interruption time for switching between Uu BWP and SL BWP.</w:t>
        </w:r>
      </w:hyperlink>
    </w:p>
    <w:p w:rsidR="00024AB6" w:rsidRDefault="00024AB6" w:rsidP="00EC3E2F">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20774548" w:history="1">
        <w:r w:rsidRPr="00EC3E2F">
          <w:rPr>
            <w:rStyle w:val="Hyperlink"/>
            <w:rFonts w:eastAsia="SimSun"/>
            <w:noProof/>
          </w:rPr>
          <w:t>Proposal 4:</w:t>
        </w:r>
        <w:r>
          <w:rPr>
            <w:rFonts w:asciiTheme="minorHAnsi" w:hAnsiTheme="minorHAnsi" w:cstheme="minorBidi"/>
            <w:b w:val="0"/>
            <w:i w:val="0"/>
            <w:noProof/>
            <w:kern w:val="0"/>
            <w:sz w:val="22"/>
            <w:szCs w:val="22"/>
          </w:rPr>
          <w:tab/>
        </w:r>
        <w:r w:rsidRPr="00EC3E2F">
          <w:rPr>
            <w:rStyle w:val="Hyperlink"/>
            <w:noProof/>
          </w:rPr>
          <w:t>To allocate time domain resources of a sidelink resource pool, the following should be indicated:</w:t>
        </w:r>
      </w:hyperlink>
    </w:p>
    <w:p w:rsidR="00024AB6" w:rsidRDefault="00024AB6" w:rsidP="00024AB6">
      <w:pPr>
        <w:pStyle w:val="TOC2"/>
        <w:tabs>
          <w:tab w:val="left" w:pos="880"/>
          <w:tab w:val="right" w:leader="dot" w:pos="9650"/>
        </w:tabs>
        <w:spacing w:before="120" w:after="120"/>
        <w:rPr>
          <w:rFonts w:asciiTheme="minorHAnsi" w:eastAsiaTheme="minorEastAsia" w:hAnsiTheme="minorHAnsi" w:cstheme="minorBidi"/>
          <w:b w:val="0"/>
          <w:i w:val="0"/>
          <w:noProof/>
          <w:kern w:val="0"/>
          <w:sz w:val="22"/>
          <w:szCs w:val="22"/>
        </w:rPr>
      </w:pPr>
      <w:hyperlink w:anchor="_Toc20774549" w:history="1">
        <w:r w:rsidRPr="00EC3E2F">
          <w:rPr>
            <w:rStyle w:val="Hyperlink"/>
            <w:rFonts w:ascii="Arial" w:hAnsi="Arial" w:cs="Arial"/>
            <w:noProof/>
          </w:rPr>
          <w:t>•</w:t>
        </w:r>
        <w:r>
          <w:rPr>
            <w:rFonts w:asciiTheme="minorHAnsi" w:eastAsiaTheme="minorEastAsia" w:hAnsiTheme="minorHAnsi" w:cstheme="minorBidi"/>
            <w:b w:val="0"/>
            <w:i w:val="0"/>
            <w:noProof/>
            <w:kern w:val="0"/>
            <w:sz w:val="22"/>
            <w:szCs w:val="22"/>
          </w:rPr>
          <w:tab/>
        </w:r>
        <w:r w:rsidRPr="00EC3E2F">
          <w:rPr>
            <w:rStyle w:val="Hyperlink"/>
            <w:noProof/>
          </w:rPr>
          <w:t>Configuration periodicity (i.e., bitmap length)</w:t>
        </w:r>
      </w:hyperlink>
    </w:p>
    <w:p w:rsidR="00024AB6" w:rsidRDefault="00024AB6" w:rsidP="00024AB6">
      <w:pPr>
        <w:pStyle w:val="TOC2"/>
        <w:tabs>
          <w:tab w:val="left" w:pos="880"/>
          <w:tab w:val="right" w:leader="dot" w:pos="9650"/>
        </w:tabs>
        <w:spacing w:before="120" w:after="120"/>
        <w:rPr>
          <w:rFonts w:asciiTheme="minorHAnsi" w:eastAsiaTheme="minorEastAsia" w:hAnsiTheme="minorHAnsi" w:cstheme="minorBidi"/>
          <w:b w:val="0"/>
          <w:i w:val="0"/>
          <w:noProof/>
          <w:kern w:val="0"/>
          <w:sz w:val="22"/>
          <w:szCs w:val="22"/>
        </w:rPr>
      </w:pPr>
      <w:hyperlink w:anchor="_Toc20774550" w:history="1">
        <w:r w:rsidRPr="00EC3E2F">
          <w:rPr>
            <w:rStyle w:val="Hyperlink"/>
            <w:rFonts w:ascii="Arial" w:hAnsi="Arial" w:cs="Arial"/>
            <w:noProof/>
          </w:rPr>
          <w:t>•</w:t>
        </w:r>
        <w:r>
          <w:rPr>
            <w:rFonts w:asciiTheme="minorHAnsi" w:eastAsiaTheme="minorEastAsia" w:hAnsiTheme="minorHAnsi" w:cstheme="minorBidi"/>
            <w:b w:val="0"/>
            <w:i w:val="0"/>
            <w:noProof/>
            <w:kern w:val="0"/>
            <w:sz w:val="22"/>
            <w:szCs w:val="22"/>
          </w:rPr>
          <w:tab/>
        </w:r>
        <w:r w:rsidRPr="00EC3E2F">
          <w:rPr>
            <w:rStyle w:val="Hyperlink"/>
            <w:noProof/>
          </w:rPr>
          <w:t>Bitmap for slots within a period, which is one-to-one mapping to contiguous physical slots</w:t>
        </w:r>
      </w:hyperlink>
    </w:p>
    <w:p w:rsidR="00024AB6" w:rsidRDefault="00024AB6" w:rsidP="00024AB6">
      <w:pPr>
        <w:pStyle w:val="TOC2"/>
        <w:tabs>
          <w:tab w:val="left" w:pos="880"/>
          <w:tab w:val="right" w:leader="dot" w:pos="9650"/>
        </w:tabs>
        <w:spacing w:before="120" w:after="120"/>
        <w:rPr>
          <w:rFonts w:asciiTheme="minorHAnsi" w:eastAsiaTheme="minorEastAsia" w:hAnsiTheme="minorHAnsi" w:cstheme="minorBidi"/>
          <w:b w:val="0"/>
          <w:i w:val="0"/>
          <w:noProof/>
          <w:kern w:val="0"/>
          <w:sz w:val="22"/>
          <w:szCs w:val="22"/>
        </w:rPr>
      </w:pPr>
      <w:hyperlink w:anchor="_Toc20774551" w:history="1">
        <w:r w:rsidRPr="00EC3E2F">
          <w:rPr>
            <w:rStyle w:val="Hyperlink"/>
            <w:rFonts w:ascii="Arial" w:hAnsi="Arial" w:cs="Arial"/>
            <w:noProof/>
          </w:rPr>
          <w:t>•</w:t>
        </w:r>
        <w:r>
          <w:rPr>
            <w:rFonts w:asciiTheme="minorHAnsi" w:eastAsiaTheme="minorEastAsia" w:hAnsiTheme="minorHAnsi" w:cstheme="minorBidi"/>
            <w:b w:val="0"/>
            <w:i w:val="0"/>
            <w:noProof/>
            <w:kern w:val="0"/>
            <w:sz w:val="22"/>
            <w:szCs w:val="22"/>
          </w:rPr>
          <w:tab/>
        </w:r>
        <w:r w:rsidRPr="00EC3E2F">
          <w:rPr>
            <w:rStyle w:val="Hyperlink"/>
            <w:noProof/>
          </w:rPr>
          <w:t>Symbols within a slot</w:t>
        </w:r>
      </w:hyperlink>
    </w:p>
    <w:p w:rsidR="00024AB6" w:rsidRDefault="00024AB6" w:rsidP="00EC3E2F">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20774552" w:history="1">
        <w:r w:rsidRPr="00EC3E2F">
          <w:rPr>
            <w:rStyle w:val="Hyperlink"/>
            <w:rFonts w:eastAsia="SimSun"/>
            <w:noProof/>
          </w:rPr>
          <w:t>Proposal 5:</w:t>
        </w:r>
        <w:r>
          <w:rPr>
            <w:rFonts w:asciiTheme="minorHAnsi" w:hAnsiTheme="minorHAnsi" w:cstheme="minorBidi"/>
            <w:b w:val="0"/>
            <w:i w:val="0"/>
            <w:noProof/>
            <w:kern w:val="0"/>
            <w:sz w:val="22"/>
            <w:szCs w:val="22"/>
          </w:rPr>
          <w:tab/>
        </w:r>
        <w:r w:rsidRPr="00EC3E2F">
          <w:rPr>
            <w:rStyle w:val="Hyperlink"/>
            <w:noProof/>
          </w:rPr>
          <w:t>Whether Flexible resource can be used for sidelink is configurable.</w:t>
        </w:r>
      </w:hyperlink>
    </w:p>
    <w:p w:rsidR="00024AB6" w:rsidRDefault="00024AB6" w:rsidP="00EC3E2F">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20774553" w:history="1">
        <w:r w:rsidRPr="00EC3E2F">
          <w:rPr>
            <w:rStyle w:val="Hyperlink"/>
            <w:rFonts w:eastAsia="SimSun"/>
            <w:noProof/>
          </w:rPr>
          <w:t>Proposal 6:</w:t>
        </w:r>
        <w:r>
          <w:rPr>
            <w:rFonts w:asciiTheme="minorHAnsi" w:hAnsiTheme="minorHAnsi" w:cstheme="minorBidi"/>
            <w:b w:val="0"/>
            <w:i w:val="0"/>
            <w:noProof/>
            <w:kern w:val="0"/>
            <w:sz w:val="22"/>
            <w:szCs w:val="22"/>
          </w:rPr>
          <w:tab/>
        </w:r>
        <w:r w:rsidRPr="00EC3E2F">
          <w:rPr>
            <w:rStyle w:val="Hyperlink"/>
            <w:noProof/>
          </w:rPr>
          <w:t>An integrate sidelink resource pool should be used, and PSCCH, relevant PSSCH and PSFCH should be configured within the same resource pool.</w:t>
        </w:r>
      </w:hyperlink>
    </w:p>
    <w:p w:rsidR="00024AB6" w:rsidRDefault="00024AB6" w:rsidP="00EC3E2F">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20774554" w:history="1">
        <w:r w:rsidRPr="00EC3E2F">
          <w:rPr>
            <w:rStyle w:val="Hyperlink"/>
            <w:rFonts w:eastAsia="SimSun"/>
            <w:noProof/>
          </w:rPr>
          <w:t>Proposal 7:</w:t>
        </w:r>
        <w:r>
          <w:rPr>
            <w:rFonts w:asciiTheme="minorHAnsi" w:hAnsiTheme="minorHAnsi" w:cstheme="minorBidi"/>
            <w:b w:val="0"/>
            <w:i w:val="0"/>
            <w:noProof/>
            <w:kern w:val="0"/>
            <w:sz w:val="22"/>
            <w:szCs w:val="22"/>
          </w:rPr>
          <w:tab/>
        </w:r>
        <w:r w:rsidRPr="00EC3E2F">
          <w:rPr>
            <w:rStyle w:val="Hyperlink"/>
            <w:noProof/>
          </w:rPr>
          <w:t>GP symbol should be allocated on the symbol after PSSCH / PSFCH resource.</w:t>
        </w:r>
      </w:hyperlink>
    </w:p>
    <w:p w:rsidR="00024AB6" w:rsidRDefault="00024AB6" w:rsidP="00EC3E2F">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20774555" w:history="1">
        <w:r w:rsidRPr="00EC3E2F">
          <w:rPr>
            <w:rStyle w:val="Hyperlink"/>
            <w:rFonts w:eastAsia="SimSun"/>
            <w:noProof/>
          </w:rPr>
          <w:t>Proposal 8:</w:t>
        </w:r>
        <w:r>
          <w:rPr>
            <w:rFonts w:asciiTheme="minorHAnsi" w:hAnsiTheme="minorHAnsi" w:cstheme="minorBidi"/>
            <w:b w:val="0"/>
            <w:i w:val="0"/>
            <w:noProof/>
            <w:kern w:val="0"/>
            <w:sz w:val="22"/>
            <w:szCs w:val="22"/>
          </w:rPr>
          <w:tab/>
        </w:r>
        <w:r w:rsidRPr="00EC3E2F">
          <w:rPr>
            <w:rStyle w:val="Hyperlink"/>
            <w:noProof/>
          </w:rPr>
          <w:t>For the case that a subset of symbols in a slot are configured as sidelink resource, one minimum number of sidelink symbols in a slot should be defined, with the following factors being considered:</w:t>
        </w:r>
      </w:hyperlink>
    </w:p>
    <w:p w:rsidR="00024AB6" w:rsidRDefault="00024AB6" w:rsidP="00024AB6">
      <w:pPr>
        <w:pStyle w:val="TOC2"/>
        <w:tabs>
          <w:tab w:val="left" w:pos="880"/>
          <w:tab w:val="right" w:leader="dot" w:pos="9650"/>
        </w:tabs>
        <w:spacing w:before="120" w:after="120"/>
        <w:rPr>
          <w:rFonts w:asciiTheme="minorHAnsi" w:eastAsiaTheme="minorEastAsia" w:hAnsiTheme="minorHAnsi" w:cstheme="minorBidi"/>
          <w:b w:val="0"/>
          <w:i w:val="0"/>
          <w:noProof/>
          <w:kern w:val="0"/>
          <w:sz w:val="22"/>
          <w:szCs w:val="22"/>
        </w:rPr>
      </w:pPr>
      <w:hyperlink w:anchor="_Toc20774556" w:history="1">
        <w:r w:rsidRPr="00EC3E2F">
          <w:rPr>
            <w:rStyle w:val="Hyperlink"/>
            <w:rFonts w:ascii="Arial" w:hAnsi="Arial" w:cs="Arial"/>
            <w:noProof/>
          </w:rPr>
          <w:t>•</w:t>
        </w:r>
        <w:r>
          <w:rPr>
            <w:rFonts w:asciiTheme="minorHAnsi" w:eastAsiaTheme="minorEastAsia" w:hAnsiTheme="minorHAnsi" w:cstheme="minorBidi"/>
            <w:b w:val="0"/>
            <w:i w:val="0"/>
            <w:noProof/>
            <w:kern w:val="0"/>
            <w:sz w:val="22"/>
            <w:szCs w:val="22"/>
          </w:rPr>
          <w:tab/>
        </w:r>
        <w:r w:rsidRPr="00EC3E2F">
          <w:rPr>
            <w:rStyle w:val="Hyperlink"/>
            <w:noProof/>
          </w:rPr>
          <w:t>GP symbol</w:t>
        </w:r>
      </w:hyperlink>
    </w:p>
    <w:p w:rsidR="00024AB6" w:rsidRDefault="00024AB6" w:rsidP="00024AB6">
      <w:pPr>
        <w:pStyle w:val="TOC2"/>
        <w:tabs>
          <w:tab w:val="left" w:pos="880"/>
          <w:tab w:val="right" w:leader="dot" w:pos="9650"/>
        </w:tabs>
        <w:spacing w:before="120" w:after="120"/>
        <w:rPr>
          <w:rFonts w:asciiTheme="minorHAnsi" w:eastAsiaTheme="minorEastAsia" w:hAnsiTheme="minorHAnsi" w:cstheme="minorBidi"/>
          <w:b w:val="0"/>
          <w:i w:val="0"/>
          <w:noProof/>
          <w:kern w:val="0"/>
          <w:sz w:val="22"/>
          <w:szCs w:val="22"/>
        </w:rPr>
      </w:pPr>
      <w:hyperlink w:anchor="_Toc20774557" w:history="1">
        <w:r w:rsidRPr="00EC3E2F">
          <w:rPr>
            <w:rStyle w:val="Hyperlink"/>
            <w:rFonts w:ascii="Arial" w:hAnsi="Arial" w:cs="Arial"/>
            <w:noProof/>
          </w:rPr>
          <w:t>•</w:t>
        </w:r>
        <w:r>
          <w:rPr>
            <w:rFonts w:asciiTheme="minorHAnsi" w:eastAsiaTheme="minorEastAsia" w:hAnsiTheme="minorHAnsi" w:cstheme="minorBidi"/>
            <w:b w:val="0"/>
            <w:i w:val="0"/>
            <w:noProof/>
            <w:kern w:val="0"/>
            <w:sz w:val="22"/>
            <w:szCs w:val="22"/>
          </w:rPr>
          <w:tab/>
        </w:r>
        <w:r w:rsidRPr="00EC3E2F">
          <w:rPr>
            <w:rStyle w:val="Hyperlink"/>
            <w:noProof/>
          </w:rPr>
          <w:t>The number of symbols used as PSCCH</w:t>
        </w:r>
      </w:hyperlink>
    </w:p>
    <w:p w:rsidR="00024AB6" w:rsidRDefault="00024AB6" w:rsidP="00024AB6">
      <w:pPr>
        <w:pStyle w:val="TOC2"/>
        <w:tabs>
          <w:tab w:val="left" w:pos="880"/>
          <w:tab w:val="right" w:leader="dot" w:pos="9650"/>
        </w:tabs>
        <w:spacing w:before="120" w:after="120"/>
        <w:rPr>
          <w:rFonts w:asciiTheme="minorHAnsi" w:eastAsiaTheme="minorEastAsia" w:hAnsiTheme="minorHAnsi" w:cstheme="minorBidi"/>
          <w:b w:val="0"/>
          <w:i w:val="0"/>
          <w:noProof/>
          <w:kern w:val="0"/>
          <w:sz w:val="22"/>
          <w:szCs w:val="22"/>
        </w:rPr>
      </w:pPr>
      <w:hyperlink w:anchor="_Toc20774558" w:history="1">
        <w:r w:rsidRPr="00EC3E2F">
          <w:rPr>
            <w:rStyle w:val="Hyperlink"/>
            <w:rFonts w:ascii="Arial" w:hAnsi="Arial" w:cs="Arial"/>
            <w:noProof/>
          </w:rPr>
          <w:t>•</w:t>
        </w:r>
        <w:r>
          <w:rPr>
            <w:rFonts w:asciiTheme="minorHAnsi" w:eastAsiaTheme="minorEastAsia" w:hAnsiTheme="minorHAnsi" w:cstheme="minorBidi"/>
            <w:b w:val="0"/>
            <w:i w:val="0"/>
            <w:noProof/>
            <w:kern w:val="0"/>
            <w:sz w:val="22"/>
            <w:szCs w:val="22"/>
          </w:rPr>
          <w:tab/>
        </w:r>
        <w:r w:rsidRPr="00EC3E2F">
          <w:rPr>
            <w:rStyle w:val="Hyperlink"/>
            <w:noProof/>
          </w:rPr>
          <w:t>The number of symbols used as PSFCH</w:t>
        </w:r>
      </w:hyperlink>
    </w:p>
    <w:p w:rsidR="00024AB6" w:rsidRDefault="00024AB6" w:rsidP="00024AB6">
      <w:pPr>
        <w:pStyle w:val="TOC2"/>
        <w:tabs>
          <w:tab w:val="left" w:pos="880"/>
          <w:tab w:val="right" w:leader="dot" w:pos="9650"/>
        </w:tabs>
        <w:spacing w:before="120" w:after="120"/>
        <w:rPr>
          <w:rFonts w:asciiTheme="minorHAnsi" w:eastAsiaTheme="minorEastAsia" w:hAnsiTheme="minorHAnsi" w:cstheme="minorBidi"/>
          <w:b w:val="0"/>
          <w:i w:val="0"/>
          <w:noProof/>
          <w:kern w:val="0"/>
          <w:sz w:val="22"/>
          <w:szCs w:val="22"/>
        </w:rPr>
      </w:pPr>
      <w:hyperlink w:anchor="_Toc20774559" w:history="1">
        <w:r w:rsidRPr="00EC3E2F">
          <w:rPr>
            <w:rStyle w:val="Hyperlink"/>
            <w:rFonts w:ascii="Arial" w:hAnsi="Arial" w:cs="Arial"/>
            <w:noProof/>
          </w:rPr>
          <w:t>•</w:t>
        </w:r>
        <w:r>
          <w:rPr>
            <w:rFonts w:asciiTheme="minorHAnsi" w:eastAsiaTheme="minorEastAsia" w:hAnsiTheme="minorHAnsi" w:cstheme="minorBidi"/>
            <w:b w:val="0"/>
            <w:i w:val="0"/>
            <w:noProof/>
            <w:kern w:val="0"/>
            <w:sz w:val="22"/>
            <w:szCs w:val="22"/>
          </w:rPr>
          <w:tab/>
        </w:r>
        <w:r w:rsidRPr="00EC3E2F">
          <w:rPr>
            <w:rStyle w:val="Hyperlink"/>
            <w:noProof/>
          </w:rPr>
          <w:t>Reasonable number of symbols for PSSCH</w:t>
        </w:r>
      </w:hyperlink>
    </w:p>
    <w:p w:rsidR="00024AB6" w:rsidRDefault="00024AB6" w:rsidP="00EC3E2F">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20774560" w:history="1">
        <w:r w:rsidRPr="00EC3E2F">
          <w:rPr>
            <w:rStyle w:val="Hyperlink"/>
            <w:rFonts w:eastAsia="SimSun"/>
            <w:noProof/>
          </w:rPr>
          <w:t>Proposal 9:</w:t>
        </w:r>
        <w:r>
          <w:rPr>
            <w:rFonts w:asciiTheme="minorHAnsi" w:hAnsiTheme="minorHAnsi" w:cstheme="minorBidi"/>
            <w:b w:val="0"/>
            <w:i w:val="0"/>
            <w:noProof/>
            <w:kern w:val="0"/>
            <w:sz w:val="22"/>
            <w:szCs w:val="22"/>
          </w:rPr>
          <w:tab/>
        </w:r>
        <w:r w:rsidRPr="00EC3E2F">
          <w:rPr>
            <w:rStyle w:val="Hyperlink"/>
            <w:noProof/>
          </w:rPr>
          <w:t>For the case of slot aggregation, PSCCH resources should be allocated in the first slot within each aggregated slot set.</w:t>
        </w:r>
      </w:hyperlink>
    </w:p>
    <w:p w:rsidR="00024AB6" w:rsidRDefault="00024AB6" w:rsidP="00EC3E2F">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20774561" w:history="1">
        <w:r w:rsidRPr="00EC3E2F">
          <w:rPr>
            <w:rStyle w:val="Hyperlink"/>
            <w:rFonts w:eastAsia="SimSun"/>
            <w:noProof/>
          </w:rPr>
          <w:t>Proposal 10:</w:t>
        </w:r>
        <w:r>
          <w:rPr>
            <w:rFonts w:asciiTheme="minorHAnsi" w:hAnsiTheme="minorHAnsi" w:cstheme="minorBidi"/>
            <w:b w:val="0"/>
            <w:i w:val="0"/>
            <w:noProof/>
            <w:kern w:val="0"/>
            <w:sz w:val="22"/>
            <w:szCs w:val="22"/>
          </w:rPr>
          <w:tab/>
        </w:r>
        <w:r w:rsidRPr="00EC3E2F">
          <w:rPr>
            <w:rStyle w:val="Hyperlink"/>
            <w:noProof/>
          </w:rPr>
          <w:t>Slot aggregation for PSCCH/PSSCH should be (pre-)configurable per resource pool.</w:t>
        </w:r>
      </w:hyperlink>
    </w:p>
    <w:p w:rsidR="00024AB6" w:rsidRDefault="00024AB6" w:rsidP="00EC3E2F">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20774562" w:history="1">
        <w:r w:rsidRPr="00EC3E2F">
          <w:rPr>
            <w:rStyle w:val="Hyperlink"/>
            <w:rFonts w:eastAsia="SimSun"/>
            <w:noProof/>
          </w:rPr>
          <w:t>Proposal 11:</w:t>
        </w:r>
        <w:r>
          <w:rPr>
            <w:rFonts w:asciiTheme="minorHAnsi" w:hAnsiTheme="minorHAnsi" w:cstheme="minorBidi"/>
            <w:b w:val="0"/>
            <w:i w:val="0"/>
            <w:noProof/>
            <w:kern w:val="0"/>
            <w:sz w:val="22"/>
            <w:szCs w:val="22"/>
          </w:rPr>
          <w:tab/>
        </w:r>
        <w:r w:rsidRPr="00EC3E2F">
          <w:rPr>
            <w:rStyle w:val="Hyperlink"/>
            <w:noProof/>
          </w:rPr>
          <w:t>The frequency domain resources of a resource pool always consist of contiguous PRBs.</w:t>
        </w:r>
      </w:hyperlink>
    </w:p>
    <w:p w:rsidR="00024AB6" w:rsidRDefault="00024AB6" w:rsidP="00EC3E2F">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20774563" w:history="1">
        <w:r w:rsidRPr="00EC3E2F">
          <w:rPr>
            <w:rStyle w:val="Hyperlink"/>
            <w:rFonts w:eastAsia="SimSun"/>
            <w:noProof/>
          </w:rPr>
          <w:t>Proposal 12:</w:t>
        </w:r>
        <w:r>
          <w:rPr>
            <w:rFonts w:asciiTheme="minorHAnsi" w:hAnsiTheme="minorHAnsi" w:cstheme="minorBidi"/>
            <w:b w:val="0"/>
            <w:i w:val="0"/>
            <w:noProof/>
            <w:kern w:val="0"/>
            <w:sz w:val="22"/>
            <w:szCs w:val="22"/>
          </w:rPr>
          <w:tab/>
        </w:r>
        <w:r w:rsidRPr="00EC3E2F">
          <w:rPr>
            <w:rStyle w:val="Hyperlink"/>
            <w:noProof/>
          </w:rPr>
          <w:t>The PSCCH resource unit has fixed size, across 5 symbols and 10 RBs.</w:t>
        </w:r>
      </w:hyperlink>
    </w:p>
    <w:p w:rsidR="00024AB6" w:rsidRDefault="00024AB6" w:rsidP="00EC3E2F">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20774564" w:history="1">
        <w:r w:rsidRPr="00EC3E2F">
          <w:rPr>
            <w:rStyle w:val="Hyperlink"/>
            <w:rFonts w:eastAsia="SimSun"/>
            <w:noProof/>
          </w:rPr>
          <w:t>Proposal 13:</w:t>
        </w:r>
        <w:r>
          <w:rPr>
            <w:rFonts w:asciiTheme="minorHAnsi" w:hAnsiTheme="minorHAnsi" w:cstheme="minorBidi"/>
            <w:b w:val="0"/>
            <w:i w:val="0"/>
            <w:noProof/>
            <w:kern w:val="0"/>
            <w:sz w:val="22"/>
            <w:szCs w:val="22"/>
          </w:rPr>
          <w:tab/>
        </w:r>
        <w:r w:rsidRPr="00EC3E2F">
          <w:rPr>
            <w:rStyle w:val="Hyperlink"/>
            <w:noProof/>
          </w:rPr>
          <w:t>No explicit AGC symbol is defined.</w:t>
        </w:r>
      </w:hyperlink>
    </w:p>
    <w:p w:rsidR="00024AB6" w:rsidRDefault="00024AB6" w:rsidP="00EC3E2F">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20774565" w:history="1">
        <w:r w:rsidRPr="00EC3E2F">
          <w:rPr>
            <w:rStyle w:val="Hyperlink"/>
            <w:rFonts w:eastAsia="SimSun"/>
            <w:noProof/>
          </w:rPr>
          <w:t>Proposal 14:</w:t>
        </w:r>
        <w:r>
          <w:rPr>
            <w:rFonts w:asciiTheme="minorHAnsi" w:hAnsiTheme="minorHAnsi" w:cstheme="minorBidi"/>
            <w:b w:val="0"/>
            <w:i w:val="0"/>
            <w:noProof/>
            <w:kern w:val="0"/>
            <w:sz w:val="22"/>
            <w:szCs w:val="22"/>
          </w:rPr>
          <w:tab/>
        </w:r>
        <w:r w:rsidRPr="00EC3E2F">
          <w:rPr>
            <w:rStyle w:val="Hyperlink"/>
            <w:noProof/>
          </w:rPr>
          <w:t>In time domain, a PSCCH resource starts from the first sidelink symbol within a slot.</w:t>
        </w:r>
      </w:hyperlink>
    </w:p>
    <w:p w:rsidR="00024AB6" w:rsidRDefault="00024AB6" w:rsidP="00EC3E2F">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20774566" w:history="1">
        <w:r w:rsidRPr="00EC3E2F">
          <w:rPr>
            <w:rStyle w:val="Hyperlink"/>
            <w:rFonts w:eastAsia="SimSun"/>
            <w:noProof/>
          </w:rPr>
          <w:t>Proposal 15:</w:t>
        </w:r>
        <w:r>
          <w:rPr>
            <w:rFonts w:asciiTheme="minorHAnsi" w:hAnsiTheme="minorHAnsi" w:cstheme="minorBidi"/>
            <w:b w:val="0"/>
            <w:i w:val="0"/>
            <w:noProof/>
            <w:kern w:val="0"/>
            <w:sz w:val="22"/>
            <w:szCs w:val="22"/>
          </w:rPr>
          <w:tab/>
        </w:r>
        <w:r w:rsidRPr="00EC3E2F">
          <w:rPr>
            <w:rStyle w:val="Hyperlink"/>
            <w:rFonts w:eastAsia="SimSun"/>
            <w:noProof/>
          </w:rPr>
          <w:t xml:space="preserve">In frequency </w:t>
        </w:r>
        <w:r w:rsidRPr="00EC3E2F">
          <w:rPr>
            <w:rStyle w:val="Hyperlink"/>
            <w:noProof/>
          </w:rPr>
          <w:t>domain</w:t>
        </w:r>
        <w:r w:rsidRPr="00EC3E2F">
          <w:rPr>
            <w:rStyle w:val="Hyperlink"/>
            <w:rFonts w:eastAsia="SimSun"/>
            <w:noProof/>
          </w:rPr>
          <w:t>, a PSCCH resource starts from the lowest RB within a sub-channel.</w:t>
        </w:r>
      </w:hyperlink>
    </w:p>
    <w:p w:rsidR="00024AB6" w:rsidRDefault="00024AB6" w:rsidP="00EC3E2F">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20774567" w:history="1">
        <w:r w:rsidRPr="00EC3E2F">
          <w:rPr>
            <w:rStyle w:val="Hyperlink"/>
            <w:rFonts w:eastAsia="SimSun"/>
            <w:noProof/>
          </w:rPr>
          <w:t>Proposal 16:</w:t>
        </w:r>
        <w:r>
          <w:rPr>
            <w:rFonts w:asciiTheme="minorHAnsi" w:hAnsiTheme="minorHAnsi" w:cstheme="minorBidi"/>
            <w:b w:val="0"/>
            <w:i w:val="0"/>
            <w:noProof/>
            <w:kern w:val="0"/>
            <w:sz w:val="22"/>
            <w:szCs w:val="22"/>
          </w:rPr>
          <w:tab/>
        </w:r>
        <w:r w:rsidRPr="00EC3E2F">
          <w:rPr>
            <w:rStyle w:val="Hyperlink"/>
            <w:noProof/>
          </w:rPr>
          <w:t>No explicit AGC symbol is reserved for PSSCH.</w:t>
        </w:r>
      </w:hyperlink>
    </w:p>
    <w:p w:rsidR="00024AB6" w:rsidRDefault="00024AB6" w:rsidP="00EC3E2F">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20774568" w:history="1">
        <w:r w:rsidRPr="00EC3E2F">
          <w:rPr>
            <w:rStyle w:val="Hyperlink"/>
            <w:rFonts w:eastAsia="SimSun"/>
            <w:noProof/>
          </w:rPr>
          <w:t>Proposal 17:</w:t>
        </w:r>
        <w:r>
          <w:rPr>
            <w:rFonts w:asciiTheme="minorHAnsi" w:hAnsiTheme="minorHAnsi" w:cstheme="minorBidi"/>
            <w:b w:val="0"/>
            <w:i w:val="0"/>
            <w:noProof/>
            <w:kern w:val="0"/>
            <w:sz w:val="22"/>
            <w:szCs w:val="22"/>
          </w:rPr>
          <w:tab/>
        </w:r>
        <w:r w:rsidRPr="00EC3E2F">
          <w:rPr>
            <w:rStyle w:val="Hyperlink"/>
            <w:noProof/>
          </w:rPr>
          <w:t>In time domain, a PSSCH resource starts from the first sidelink symbol within a slot.</w:t>
        </w:r>
      </w:hyperlink>
    </w:p>
    <w:p w:rsidR="00024AB6" w:rsidRDefault="00024AB6" w:rsidP="00EC3E2F">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20774569" w:history="1">
        <w:r w:rsidRPr="00EC3E2F">
          <w:rPr>
            <w:rStyle w:val="Hyperlink"/>
            <w:rFonts w:eastAsia="SimSun"/>
            <w:noProof/>
          </w:rPr>
          <w:t>Proposal 18:</w:t>
        </w:r>
        <w:r>
          <w:rPr>
            <w:rFonts w:asciiTheme="minorHAnsi" w:hAnsiTheme="minorHAnsi" w:cstheme="minorBidi"/>
            <w:b w:val="0"/>
            <w:i w:val="0"/>
            <w:noProof/>
            <w:kern w:val="0"/>
            <w:sz w:val="22"/>
            <w:szCs w:val="22"/>
          </w:rPr>
          <w:tab/>
        </w:r>
        <w:r w:rsidRPr="00EC3E2F">
          <w:rPr>
            <w:rStyle w:val="Hyperlink"/>
            <w:noProof/>
          </w:rPr>
          <w:t>A sub-channel size (in terms of number of RBs) is (pre-)configured per resource pool.</w:t>
        </w:r>
      </w:hyperlink>
    </w:p>
    <w:p w:rsidR="00024AB6" w:rsidRDefault="00024AB6" w:rsidP="00EC3E2F">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20774570" w:history="1">
        <w:r w:rsidRPr="00EC3E2F">
          <w:rPr>
            <w:rStyle w:val="Hyperlink"/>
            <w:rFonts w:eastAsia="SimSun"/>
            <w:noProof/>
          </w:rPr>
          <w:t>Proposal 19:</w:t>
        </w:r>
        <w:r>
          <w:rPr>
            <w:rFonts w:asciiTheme="minorHAnsi" w:hAnsiTheme="minorHAnsi" w:cstheme="minorBidi"/>
            <w:b w:val="0"/>
            <w:i w:val="0"/>
            <w:noProof/>
            <w:kern w:val="0"/>
            <w:sz w:val="22"/>
            <w:szCs w:val="22"/>
          </w:rPr>
          <w:tab/>
        </w:r>
        <w:r w:rsidRPr="00EC3E2F">
          <w:rPr>
            <w:rStyle w:val="Hyperlink"/>
            <w:rFonts w:eastAsia="SimSun"/>
            <w:noProof/>
          </w:rPr>
          <w:t>For PSSCH, only single</w:t>
        </w:r>
        <w:r w:rsidRPr="00EC3E2F">
          <w:rPr>
            <w:rStyle w:val="Hyperlink"/>
            <w:noProof/>
          </w:rPr>
          <w:t>-symbol DMRS is supported.</w:t>
        </w:r>
      </w:hyperlink>
    </w:p>
    <w:p w:rsidR="00024AB6" w:rsidRDefault="00024AB6" w:rsidP="00EC3E2F">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20774571" w:history="1">
        <w:r w:rsidRPr="00EC3E2F">
          <w:rPr>
            <w:rStyle w:val="Hyperlink"/>
            <w:rFonts w:eastAsia="SimSun"/>
            <w:noProof/>
          </w:rPr>
          <w:t>Proposal 20:</w:t>
        </w:r>
        <w:r>
          <w:rPr>
            <w:rFonts w:asciiTheme="minorHAnsi" w:hAnsiTheme="minorHAnsi" w:cstheme="minorBidi"/>
            <w:b w:val="0"/>
            <w:i w:val="0"/>
            <w:noProof/>
            <w:kern w:val="0"/>
            <w:sz w:val="22"/>
            <w:szCs w:val="22"/>
          </w:rPr>
          <w:tab/>
        </w:r>
        <w:r w:rsidRPr="00EC3E2F">
          <w:rPr>
            <w:rStyle w:val="Hyperlink"/>
            <w:rFonts w:eastAsia="SimSun"/>
            <w:noProof/>
          </w:rPr>
          <w:t xml:space="preserve">For PSSCH, only configuration </w:t>
        </w:r>
        <w:r w:rsidRPr="00EC3E2F">
          <w:rPr>
            <w:rStyle w:val="Hyperlink"/>
            <w:noProof/>
          </w:rPr>
          <w:t>type 1 DMRS is supported.</w:t>
        </w:r>
      </w:hyperlink>
    </w:p>
    <w:p w:rsidR="00024AB6" w:rsidRDefault="00024AB6" w:rsidP="00EC3E2F">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20774572" w:history="1">
        <w:r w:rsidRPr="00EC3E2F">
          <w:rPr>
            <w:rStyle w:val="Hyperlink"/>
            <w:rFonts w:eastAsia="SimSun"/>
            <w:noProof/>
          </w:rPr>
          <w:t>Proposal 21:</w:t>
        </w:r>
        <w:r>
          <w:rPr>
            <w:rFonts w:asciiTheme="minorHAnsi" w:hAnsiTheme="minorHAnsi" w:cstheme="minorBidi"/>
            <w:b w:val="0"/>
            <w:i w:val="0"/>
            <w:noProof/>
            <w:kern w:val="0"/>
            <w:sz w:val="22"/>
            <w:szCs w:val="22"/>
          </w:rPr>
          <w:tab/>
        </w:r>
        <w:r w:rsidRPr="00EC3E2F">
          <w:rPr>
            <w:rStyle w:val="Hyperlink"/>
            <w:rFonts w:eastAsia="SimSun"/>
            <w:noProof/>
          </w:rPr>
          <w:t>One or multiple candidates on the number of additional PSSCH DMRS symbol(s) besides the first PSSCH DMRS symbol per slot should be (pre-)configured per resource pool.</w:t>
        </w:r>
      </w:hyperlink>
    </w:p>
    <w:p w:rsidR="00024AB6" w:rsidRDefault="00024AB6" w:rsidP="00EC3E2F">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20774573" w:history="1">
        <w:r w:rsidRPr="00EC3E2F">
          <w:rPr>
            <w:rStyle w:val="Hyperlink"/>
            <w:rFonts w:eastAsia="SimSun"/>
            <w:noProof/>
          </w:rPr>
          <w:t>Proposal 22:</w:t>
        </w:r>
        <w:r>
          <w:rPr>
            <w:rFonts w:asciiTheme="minorHAnsi" w:hAnsiTheme="minorHAnsi" w:cstheme="minorBidi"/>
            <w:b w:val="0"/>
            <w:i w:val="0"/>
            <w:noProof/>
            <w:kern w:val="0"/>
            <w:sz w:val="22"/>
            <w:szCs w:val="22"/>
          </w:rPr>
          <w:tab/>
        </w:r>
        <w:r w:rsidRPr="00EC3E2F">
          <w:rPr>
            <w:rStyle w:val="Hyperlink"/>
            <w:rFonts w:eastAsia="SimSun"/>
            <w:noProof/>
          </w:rPr>
          <w:t>The DMRS symbol location of PSSCH in a slot should be determined according to the number of symbols of the PSSCH resource in the slot.</w:t>
        </w:r>
      </w:hyperlink>
    </w:p>
    <w:p w:rsidR="00024AB6" w:rsidRDefault="00024AB6" w:rsidP="00EC3E2F">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20774574" w:history="1">
        <w:r w:rsidRPr="00EC3E2F">
          <w:rPr>
            <w:rStyle w:val="Hyperlink"/>
            <w:rFonts w:eastAsia="SimSun"/>
            <w:noProof/>
          </w:rPr>
          <w:t>Proposal 23:</w:t>
        </w:r>
        <w:r>
          <w:rPr>
            <w:rFonts w:asciiTheme="minorHAnsi" w:hAnsiTheme="minorHAnsi" w:cstheme="minorBidi"/>
            <w:b w:val="0"/>
            <w:i w:val="0"/>
            <w:noProof/>
            <w:kern w:val="0"/>
            <w:sz w:val="22"/>
            <w:szCs w:val="22"/>
          </w:rPr>
          <w:tab/>
        </w:r>
        <w:r w:rsidRPr="00EC3E2F">
          <w:rPr>
            <w:rStyle w:val="Hyperlink"/>
            <w:rFonts w:eastAsia="SimSun"/>
            <w:noProof/>
          </w:rPr>
          <w:t>The first symbol of PSSCH does not carry DMRS.</w:t>
        </w:r>
      </w:hyperlink>
    </w:p>
    <w:p w:rsidR="00024AB6" w:rsidRDefault="00024AB6" w:rsidP="00EC3E2F">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20774575" w:history="1">
        <w:r w:rsidRPr="00EC3E2F">
          <w:rPr>
            <w:rStyle w:val="Hyperlink"/>
            <w:rFonts w:eastAsia="SimSun"/>
            <w:noProof/>
          </w:rPr>
          <w:t>Proposal 24:</w:t>
        </w:r>
        <w:r>
          <w:rPr>
            <w:rFonts w:asciiTheme="minorHAnsi" w:hAnsiTheme="minorHAnsi" w:cstheme="minorBidi"/>
            <w:b w:val="0"/>
            <w:i w:val="0"/>
            <w:noProof/>
            <w:kern w:val="0"/>
            <w:sz w:val="22"/>
            <w:szCs w:val="22"/>
          </w:rPr>
          <w:tab/>
        </w:r>
        <w:r w:rsidRPr="00EC3E2F">
          <w:rPr>
            <w:rStyle w:val="Hyperlink"/>
            <w:rFonts w:eastAsia="SimSun"/>
            <w:noProof/>
          </w:rPr>
          <w:t>The DMRS pattern indication in SCI has fixed number of bits.</w:t>
        </w:r>
      </w:hyperlink>
    </w:p>
    <w:p w:rsidR="00024AB6" w:rsidRDefault="00024AB6" w:rsidP="00EC3E2F">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20774576" w:history="1">
        <w:r w:rsidRPr="00EC3E2F">
          <w:rPr>
            <w:rStyle w:val="Hyperlink"/>
            <w:rFonts w:eastAsia="SimSun"/>
            <w:noProof/>
          </w:rPr>
          <w:t>Proposal 25:</w:t>
        </w:r>
        <w:r>
          <w:rPr>
            <w:rFonts w:asciiTheme="minorHAnsi" w:hAnsiTheme="minorHAnsi" w:cstheme="minorBidi"/>
            <w:b w:val="0"/>
            <w:i w:val="0"/>
            <w:noProof/>
            <w:kern w:val="0"/>
            <w:sz w:val="22"/>
            <w:szCs w:val="22"/>
          </w:rPr>
          <w:tab/>
        </w:r>
        <w:r w:rsidRPr="00EC3E2F">
          <w:rPr>
            <w:rStyle w:val="Hyperlink"/>
            <w:noProof/>
          </w:rPr>
          <w:t>In frequency domain, one PSFCH resource consists of one RB.</w:t>
        </w:r>
      </w:hyperlink>
    </w:p>
    <w:p w:rsidR="00024AB6" w:rsidRDefault="00024AB6" w:rsidP="00EC3E2F">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20774577" w:history="1">
        <w:r w:rsidRPr="00EC3E2F">
          <w:rPr>
            <w:rStyle w:val="Hyperlink"/>
            <w:rFonts w:eastAsia="SimSun"/>
            <w:noProof/>
          </w:rPr>
          <w:t>Proposal 26:</w:t>
        </w:r>
        <w:r>
          <w:rPr>
            <w:rFonts w:asciiTheme="minorHAnsi" w:hAnsiTheme="minorHAnsi" w:cstheme="minorBidi"/>
            <w:b w:val="0"/>
            <w:i w:val="0"/>
            <w:noProof/>
            <w:kern w:val="0"/>
            <w:sz w:val="22"/>
            <w:szCs w:val="22"/>
          </w:rPr>
          <w:tab/>
        </w:r>
        <w:r w:rsidRPr="00EC3E2F">
          <w:rPr>
            <w:rStyle w:val="Hyperlink"/>
            <w:noProof/>
          </w:rPr>
          <w:t>To improve the receiving performance, frequency domain repetition of PSFCH should be considered.</w:t>
        </w:r>
      </w:hyperlink>
    </w:p>
    <w:p w:rsidR="00024AB6" w:rsidRDefault="00024AB6" w:rsidP="00EC3E2F">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20774578" w:history="1">
        <w:r w:rsidRPr="00EC3E2F">
          <w:rPr>
            <w:rStyle w:val="Hyperlink"/>
            <w:rFonts w:eastAsia="SimSun"/>
            <w:noProof/>
          </w:rPr>
          <w:t>Proposal 27:</w:t>
        </w:r>
        <w:r>
          <w:rPr>
            <w:rFonts w:asciiTheme="minorHAnsi" w:hAnsiTheme="minorHAnsi" w:cstheme="minorBidi"/>
            <w:b w:val="0"/>
            <w:i w:val="0"/>
            <w:noProof/>
            <w:kern w:val="0"/>
            <w:sz w:val="22"/>
            <w:szCs w:val="22"/>
          </w:rPr>
          <w:tab/>
        </w:r>
        <w:r w:rsidRPr="00EC3E2F">
          <w:rPr>
            <w:rStyle w:val="Hyperlink"/>
            <w:noProof/>
          </w:rPr>
          <w:t>Reuse the structure of PUCCH format 0 on 2 symbols for PSFCH (including AGC).</w:t>
        </w:r>
      </w:hyperlink>
    </w:p>
    <w:p w:rsidR="00024AB6" w:rsidRDefault="00024AB6" w:rsidP="00EC3E2F">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20774579" w:history="1">
        <w:r w:rsidRPr="00EC3E2F">
          <w:rPr>
            <w:rStyle w:val="Hyperlink"/>
            <w:rFonts w:eastAsia="SimSun"/>
            <w:noProof/>
          </w:rPr>
          <w:t>Proposal 28:</w:t>
        </w:r>
        <w:r>
          <w:rPr>
            <w:rFonts w:asciiTheme="minorHAnsi" w:hAnsiTheme="minorHAnsi" w:cstheme="minorBidi"/>
            <w:b w:val="0"/>
            <w:i w:val="0"/>
            <w:noProof/>
            <w:kern w:val="0"/>
            <w:sz w:val="22"/>
            <w:szCs w:val="22"/>
          </w:rPr>
          <w:tab/>
        </w:r>
        <w:r w:rsidRPr="00EC3E2F">
          <w:rPr>
            <w:rStyle w:val="Hyperlink"/>
            <w:rFonts w:eastAsia="SimSun"/>
            <w:noProof/>
          </w:rPr>
          <w:t xml:space="preserve">In frequency </w:t>
        </w:r>
        <w:r w:rsidRPr="00EC3E2F">
          <w:rPr>
            <w:rStyle w:val="Hyperlink"/>
            <w:noProof/>
          </w:rPr>
          <w:t>domain</w:t>
        </w:r>
        <w:r w:rsidRPr="00EC3E2F">
          <w:rPr>
            <w:rStyle w:val="Hyperlink"/>
            <w:rFonts w:eastAsia="SimSun"/>
            <w:noProof/>
          </w:rPr>
          <w:t>, PSFCH resource(s) is located within the sub-channel(s) of relevant PSSCH.</w:t>
        </w:r>
      </w:hyperlink>
    </w:p>
    <w:p w:rsidR="00024AB6" w:rsidRDefault="00024AB6" w:rsidP="00EC3E2F">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20774580" w:history="1">
        <w:r w:rsidRPr="00EC3E2F">
          <w:rPr>
            <w:rStyle w:val="Hyperlink"/>
            <w:rFonts w:eastAsia="SimSun"/>
            <w:noProof/>
          </w:rPr>
          <w:t>Proposal 29:</w:t>
        </w:r>
        <w:r>
          <w:rPr>
            <w:rFonts w:asciiTheme="minorHAnsi" w:hAnsiTheme="minorHAnsi" w:cstheme="minorBidi"/>
            <w:b w:val="0"/>
            <w:i w:val="0"/>
            <w:noProof/>
            <w:kern w:val="0"/>
            <w:sz w:val="22"/>
            <w:szCs w:val="22"/>
          </w:rPr>
          <w:tab/>
        </w:r>
        <w:r w:rsidRPr="00EC3E2F">
          <w:rPr>
            <w:rStyle w:val="Hyperlink"/>
            <w:noProof/>
          </w:rPr>
          <w:t>The period of PSFCH in unit of slot should be configurable in terms of logical slots belonging to a resource pool.</w:t>
        </w:r>
      </w:hyperlink>
    </w:p>
    <w:p w:rsidR="00024AB6" w:rsidRDefault="00024AB6" w:rsidP="00EC3E2F">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20774581" w:history="1">
        <w:r w:rsidRPr="00EC3E2F">
          <w:rPr>
            <w:rStyle w:val="Hyperlink"/>
            <w:rFonts w:eastAsia="SimSun"/>
            <w:noProof/>
          </w:rPr>
          <w:t>Proposal 30:</w:t>
        </w:r>
        <w:r>
          <w:rPr>
            <w:rFonts w:asciiTheme="minorHAnsi" w:hAnsiTheme="minorHAnsi" w:cstheme="minorBidi"/>
            <w:b w:val="0"/>
            <w:i w:val="0"/>
            <w:noProof/>
            <w:kern w:val="0"/>
            <w:sz w:val="22"/>
            <w:szCs w:val="22"/>
          </w:rPr>
          <w:tab/>
        </w:r>
        <w:r w:rsidRPr="00EC3E2F">
          <w:rPr>
            <w:rStyle w:val="Hyperlink"/>
            <w:noProof/>
          </w:rPr>
          <w:t>The PSSCH-to-HARQ feedback timing K is the number of physical slots.</w:t>
        </w:r>
      </w:hyperlink>
    </w:p>
    <w:p w:rsidR="00024AB6" w:rsidRDefault="00024AB6" w:rsidP="00EC3E2F">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20774582" w:history="1">
        <w:r w:rsidRPr="00EC3E2F">
          <w:rPr>
            <w:rStyle w:val="Hyperlink"/>
            <w:rFonts w:eastAsia="SimSun"/>
            <w:noProof/>
          </w:rPr>
          <w:t>Proposal 31:</w:t>
        </w:r>
        <w:r>
          <w:rPr>
            <w:rFonts w:asciiTheme="minorHAnsi" w:hAnsiTheme="minorHAnsi" w:cstheme="minorBidi"/>
            <w:b w:val="0"/>
            <w:i w:val="0"/>
            <w:noProof/>
            <w:kern w:val="0"/>
            <w:sz w:val="22"/>
            <w:szCs w:val="22"/>
          </w:rPr>
          <w:tab/>
        </w:r>
        <w:r w:rsidRPr="00EC3E2F">
          <w:rPr>
            <w:rStyle w:val="Hyperlink"/>
            <w:noProof/>
          </w:rPr>
          <w:t>The number of sub-channels used for PSSCH should be indicated in SCI.</w:t>
        </w:r>
      </w:hyperlink>
    </w:p>
    <w:p w:rsidR="00024AB6" w:rsidRDefault="00024AB6" w:rsidP="00EC3E2F">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20774583" w:history="1">
        <w:r w:rsidRPr="00EC3E2F">
          <w:rPr>
            <w:rStyle w:val="Hyperlink"/>
            <w:rFonts w:eastAsia="SimSun"/>
            <w:noProof/>
          </w:rPr>
          <w:t>Proposal 32:</w:t>
        </w:r>
        <w:r>
          <w:rPr>
            <w:rFonts w:asciiTheme="minorHAnsi" w:hAnsiTheme="minorHAnsi" w:cstheme="minorBidi"/>
            <w:b w:val="0"/>
            <w:i w:val="0"/>
            <w:noProof/>
            <w:kern w:val="0"/>
            <w:sz w:val="22"/>
            <w:szCs w:val="22"/>
          </w:rPr>
          <w:tab/>
        </w:r>
        <w:r w:rsidRPr="00EC3E2F">
          <w:rPr>
            <w:rStyle w:val="Hyperlink"/>
            <w:noProof/>
          </w:rPr>
          <w:t>Reuse the Rel-15 frequency resource indication scheme of initial transmission and retransmission for PSSCH.</w:t>
        </w:r>
      </w:hyperlink>
    </w:p>
    <w:p w:rsidR="00024AB6" w:rsidRDefault="00024AB6" w:rsidP="00EC3E2F">
      <w:pPr>
        <w:pStyle w:val="TOC1"/>
        <w:tabs>
          <w:tab w:val="left" w:pos="1540"/>
          <w:tab w:val="right" w:leader="dot" w:pos="9650"/>
        </w:tabs>
        <w:spacing w:before="120" w:after="120"/>
        <w:rPr>
          <w:rFonts w:asciiTheme="minorHAnsi" w:hAnsiTheme="minorHAnsi" w:cstheme="minorBidi"/>
          <w:b w:val="0"/>
          <w:i w:val="0"/>
          <w:noProof/>
          <w:kern w:val="0"/>
          <w:sz w:val="22"/>
          <w:szCs w:val="22"/>
        </w:rPr>
      </w:pPr>
      <w:hyperlink w:anchor="_Toc20774584" w:history="1">
        <w:r w:rsidRPr="00EC3E2F">
          <w:rPr>
            <w:rStyle w:val="Hyperlink"/>
            <w:rFonts w:eastAsia="SimSun"/>
            <w:noProof/>
          </w:rPr>
          <w:t>Proposal 33:</w:t>
        </w:r>
        <w:r>
          <w:rPr>
            <w:rFonts w:asciiTheme="minorHAnsi" w:hAnsiTheme="minorHAnsi" w:cstheme="minorBidi"/>
            <w:b w:val="0"/>
            <w:i w:val="0"/>
            <w:noProof/>
            <w:kern w:val="0"/>
            <w:sz w:val="22"/>
            <w:szCs w:val="22"/>
          </w:rPr>
          <w:tab/>
        </w:r>
        <w:r w:rsidRPr="00EC3E2F">
          <w:rPr>
            <w:rStyle w:val="Hyperlink"/>
            <w:noProof/>
          </w:rPr>
          <w:t>Support chain resource reservation scheme and the interval between current slot and next retransmission slot should be indicated in SCI.</w:t>
        </w:r>
      </w:hyperlink>
    </w:p>
    <w:p w:rsidR="00024AB6" w:rsidRDefault="00024AB6" w:rsidP="00EC3E2F">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20774585" w:history="1">
        <w:r w:rsidRPr="00EC3E2F">
          <w:rPr>
            <w:rStyle w:val="Hyperlink"/>
            <w:rFonts w:eastAsia="SimSun"/>
            <w:noProof/>
          </w:rPr>
          <w:t>Proposal 34:</w:t>
        </w:r>
        <w:r>
          <w:rPr>
            <w:rFonts w:asciiTheme="minorHAnsi" w:hAnsiTheme="minorHAnsi" w:cstheme="minorBidi"/>
            <w:b w:val="0"/>
            <w:i w:val="0"/>
            <w:noProof/>
            <w:kern w:val="0"/>
            <w:sz w:val="22"/>
            <w:szCs w:val="22"/>
          </w:rPr>
          <w:tab/>
        </w:r>
        <w:r w:rsidRPr="00EC3E2F">
          <w:rPr>
            <w:rStyle w:val="Hyperlink"/>
            <w:noProof/>
          </w:rPr>
          <w:t>Using the scheme of UCI multiplexing on PUSCH as baseline for multiplexing 2</w:t>
        </w:r>
        <w:r w:rsidRPr="00EC3E2F">
          <w:rPr>
            <w:rStyle w:val="Hyperlink"/>
            <w:noProof/>
            <w:vertAlign w:val="superscript"/>
          </w:rPr>
          <w:t>nd</w:t>
        </w:r>
        <w:r w:rsidRPr="00EC3E2F">
          <w:rPr>
            <w:rStyle w:val="Hyperlink"/>
            <w:noProof/>
          </w:rPr>
          <w:t xml:space="preserve"> SCI in PSSCH.</w:t>
        </w:r>
      </w:hyperlink>
    </w:p>
    <w:p w:rsidR="00024AB6" w:rsidRDefault="00024AB6" w:rsidP="00EC3E2F">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20774586" w:history="1">
        <w:r w:rsidRPr="00EC3E2F">
          <w:rPr>
            <w:rStyle w:val="Hyperlink"/>
            <w:rFonts w:eastAsia="SimSun"/>
            <w:noProof/>
          </w:rPr>
          <w:t>Proposal 35:</w:t>
        </w:r>
        <w:r>
          <w:rPr>
            <w:rFonts w:asciiTheme="minorHAnsi" w:hAnsiTheme="minorHAnsi" w:cstheme="minorBidi"/>
            <w:b w:val="0"/>
            <w:i w:val="0"/>
            <w:noProof/>
            <w:kern w:val="0"/>
            <w:sz w:val="22"/>
            <w:szCs w:val="22"/>
          </w:rPr>
          <w:tab/>
        </w:r>
        <w:r w:rsidRPr="00EC3E2F">
          <w:rPr>
            <w:rStyle w:val="Hyperlink"/>
            <w:noProof/>
          </w:rPr>
          <w:t>Several 2</w:t>
        </w:r>
        <w:r w:rsidRPr="00EC3E2F">
          <w:rPr>
            <w:rStyle w:val="Hyperlink"/>
            <w:noProof/>
            <w:vertAlign w:val="superscript"/>
          </w:rPr>
          <w:t>nd</w:t>
        </w:r>
        <w:r w:rsidRPr="00EC3E2F">
          <w:rPr>
            <w:rStyle w:val="Hyperlink"/>
            <w:noProof/>
          </w:rPr>
          <w:t xml:space="preserve"> stage SCI formats with different payload size should be defined for different purposes, such as for broadcast, groupcast, unicast, etc.</w:t>
        </w:r>
      </w:hyperlink>
    </w:p>
    <w:p w:rsidR="00024AB6" w:rsidRDefault="00024AB6" w:rsidP="00EC3E2F">
      <w:pPr>
        <w:pStyle w:val="TOC1"/>
        <w:tabs>
          <w:tab w:val="left" w:pos="1320"/>
          <w:tab w:val="right" w:leader="dot" w:pos="9650"/>
        </w:tabs>
        <w:spacing w:before="120" w:after="120"/>
        <w:rPr>
          <w:rFonts w:asciiTheme="minorHAnsi" w:hAnsiTheme="minorHAnsi" w:cstheme="minorBidi"/>
          <w:b w:val="0"/>
          <w:i w:val="0"/>
          <w:noProof/>
          <w:kern w:val="0"/>
          <w:sz w:val="22"/>
          <w:szCs w:val="22"/>
        </w:rPr>
      </w:pPr>
      <w:hyperlink w:anchor="_Toc20774587" w:history="1">
        <w:r w:rsidRPr="00EC3E2F">
          <w:rPr>
            <w:rStyle w:val="Hyperlink"/>
            <w:rFonts w:eastAsia="SimSun"/>
            <w:noProof/>
          </w:rPr>
          <w:t>Proposal 36:</w:t>
        </w:r>
        <w:r>
          <w:rPr>
            <w:rFonts w:asciiTheme="minorHAnsi" w:hAnsiTheme="minorHAnsi" w:cstheme="minorBidi"/>
            <w:b w:val="0"/>
            <w:i w:val="0"/>
            <w:noProof/>
            <w:kern w:val="0"/>
            <w:sz w:val="22"/>
            <w:szCs w:val="22"/>
          </w:rPr>
          <w:tab/>
        </w:r>
        <w:r w:rsidRPr="00EC3E2F">
          <w:rPr>
            <w:rStyle w:val="Hyperlink"/>
            <w:noProof/>
          </w:rPr>
          <w:t>The 2</w:t>
        </w:r>
        <w:r w:rsidRPr="00EC3E2F">
          <w:rPr>
            <w:rStyle w:val="Hyperlink"/>
            <w:noProof/>
            <w:vertAlign w:val="superscript"/>
          </w:rPr>
          <w:t>nd</w:t>
        </w:r>
        <w:r w:rsidRPr="00EC3E2F">
          <w:rPr>
            <w:rStyle w:val="Hyperlink"/>
            <w:noProof/>
          </w:rPr>
          <w:t xml:space="preserve"> stage SCI format should be indicated in 1</w:t>
        </w:r>
        <w:r w:rsidRPr="00EC3E2F">
          <w:rPr>
            <w:rStyle w:val="Hyperlink"/>
            <w:noProof/>
            <w:vertAlign w:val="superscript"/>
          </w:rPr>
          <w:t>st</w:t>
        </w:r>
        <w:r w:rsidRPr="00EC3E2F">
          <w:rPr>
            <w:rStyle w:val="Hyperlink"/>
            <w:noProof/>
          </w:rPr>
          <w:t xml:space="preserve"> stage SCI.</w:t>
        </w:r>
      </w:hyperlink>
    </w:p>
    <w:p w:rsidR="00096470" w:rsidRDefault="00985DD6">
      <w:pPr>
        <w:pStyle w:val="TOC2"/>
        <w:tabs>
          <w:tab w:val="right" w:leader="dot" w:pos="9660"/>
        </w:tabs>
        <w:spacing w:before="120" w:after="120"/>
      </w:pPr>
      <w:r>
        <w:fldChar w:fldCharType="end"/>
      </w:r>
    </w:p>
    <w:p w:rsidR="00096470" w:rsidRDefault="00562CE6">
      <w:pPr>
        <w:pStyle w:val="Heading1"/>
        <w:spacing w:before="120" w:after="120"/>
        <w:ind w:left="0"/>
        <w:rPr>
          <w:rFonts w:eastAsia="SimSun"/>
        </w:rPr>
      </w:pPr>
      <w:r>
        <w:rPr>
          <w:rFonts w:eastAsia="SimSun" w:hint="eastAsia"/>
        </w:rPr>
        <w:lastRenderedPageBreak/>
        <w:t>Reference</w:t>
      </w:r>
      <w:r>
        <w:rPr>
          <w:rFonts w:eastAsia="SimSun"/>
        </w:rPr>
        <w:t>s</w:t>
      </w:r>
    </w:p>
    <w:p w:rsidR="00096470" w:rsidRDefault="00562CE6">
      <w:pPr>
        <w:pStyle w:val="References"/>
        <w:spacing w:before="120" w:after="120"/>
        <w:ind w:left="363" w:hanging="363"/>
        <w:rPr>
          <w:szCs w:val="20"/>
        </w:rPr>
      </w:pPr>
      <w:bookmarkStart w:id="234" w:name="_Ref6480"/>
      <w:bookmarkStart w:id="235" w:name="_Ref17466"/>
      <w:r>
        <w:rPr>
          <w:rFonts w:hint="eastAsia"/>
          <w:szCs w:val="20"/>
        </w:rPr>
        <w:t>Chairman's Notes RAN1#98 final</w:t>
      </w:r>
      <w:bookmarkEnd w:id="234"/>
    </w:p>
    <w:p w:rsidR="00096470" w:rsidRDefault="00562CE6">
      <w:pPr>
        <w:pStyle w:val="References"/>
        <w:spacing w:before="120" w:after="120"/>
      </w:pPr>
      <w:bookmarkStart w:id="236" w:name="_Ref2345"/>
      <w:bookmarkStart w:id="237" w:name="_Ref6332"/>
      <w:bookmarkStart w:id="238" w:name="_Ref1074"/>
      <w:bookmarkEnd w:id="235"/>
      <w:r>
        <w:t>R1-1907977</w:t>
      </w:r>
      <w:r>
        <w:rPr>
          <w:rFonts w:hint="eastAsia"/>
        </w:rPr>
        <w:t>(</w:t>
      </w:r>
      <w:r>
        <w:t>R4-1906062</w:t>
      </w:r>
      <w:r>
        <w:rPr>
          <w:rFonts w:hint="eastAsia"/>
        </w:rPr>
        <w:t xml:space="preserve">) </w:t>
      </w:r>
      <w:bookmarkEnd w:id="236"/>
      <w:r>
        <w:t>Reply LS on NR V2X UE RF parameters for NR V2X service</w:t>
      </w:r>
      <w:bookmarkEnd w:id="237"/>
      <w:bookmarkEnd w:id="238"/>
    </w:p>
    <w:sectPr w:rsidR="00096470" w:rsidSect="00985DD6">
      <w:headerReference w:type="even" r:id="rId20"/>
      <w:headerReference w:type="default" r:id="rId21"/>
      <w:footerReference w:type="even" r:id="rId22"/>
      <w:footerReference w:type="default" r:id="rId23"/>
      <w:headerReference w:type="first" r:id="rId24"/>
      <w:footerReference w:type="first" r:id="rId25"/>
      <w:pgSz w:w="12240" w:h="15840"/>
      <w:pgMar w:top="1440" w:right="1200" w:bottom="1440" w:left="13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5CD5" w:rsidRDefault="004D5CD5">
      <w:pPr>
        <w:spacing w:before="120" w:after="120" w:line="240" w:lineRule="auto"/>
      </w:pPr>
      <w:r>
        <w:separator/>
      </w:r>
    </w:p>
  </w:endnote>
  <w:endnote w:type="continuationSeparator" w:id="0">
    <w:p w:rsidR="004D5CD5" w:rsidRDefault="004D5CD5">
      <w:pPr>
        <w:spacing w:before="120" w:after="12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2CE6" w:rsidRDefault="00562CE6">
    <w:pPr>
      <w:pStyle w:val="Footer"/>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5779828"/>
      <w:docPartObj>
        <w:docPartGallery w:val="Page Numbers (Bottom of Page)"/>
        <w:docPartUnique/>
      </w:docPartObj>
    </w:sdtPr>
    <w:sdtEndPr>
      <w:rPr>
        <w:noProof/>
      </w:rPr>
    </w:sdtEndPr>
    <w:sdtContent>
      <w:p w:rsidR="00562CE6" w:rsidRDefault="00985DD6">
        <w:pPr>
          <w:pStyle w:val="Footer"/>
          <w:spacing w:before="120" w:after="120"/>
          <w:jc w:val="center"/>
        </w:pPr>
        <w:r>
          <w:fldChar w:fldCharType="begin"/>
        </w:r>
        <w:r w:rsidR="00562CE6">
          <w:instrText xml:space="preserve"> PAGE   \* MERGEFORMAT </w:instrText>
        </w:r>
        <w:r>
          <w:fldChar w:fldCharType="separate"/>
        </w:r>
        <w:r w:rsidR="00024AB6">
          <w:rPr>
            <w:noProof/>
          </w:rPr>
          <w:t>14</w:t>
        </w:r>
        <w:r>
          <w:rPr>
            <w:noProof/>
          </w:rPr>
          <w:fldChar w:fldCharType="end"/>
        </w:r>
      </w:p>
    </w:sdtContent>
  </w:sdt>
  <w:p w:rsidR="00562CE6" w:rsidRDefault="00562CE6">
    <w:pPr>
      <w:pStyle w:val="Footer"/>
      <w:spacing w:before="120" w:after="12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2CE6" w:rsidRDefault="00562CE6">
    <w:pPr>
      <w:pStyle w:val="Footer"/>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5CD5" w:rsidRDefault="004D5CD5">
      <w:pPr>
        <w:spacing w:before="120" w:after="120" w:line="240" w:lineRule="auto"/>
      </w:pPr>
      <w:r>
        <w:separator/>
      </w:r>
    </w:p>
  </w:footnote>
  <w:footnote w:type="continuationSeparator" w:id="0">
    <w:p w:rsidR="004D5CD5" w:rsidRDefault="004D5CD5">
      <w:pPr>
        <w:spacing w:before="120" w:after="12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2CE6" w:rsidRDefault="00562CE6">
    <w:pPr>
      <w:pStyle w:val="Header"/>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2CE6" w:rsidRDefault="00562CE6">
    <w:pPr>
      <w:pStyle w:val="Header"/>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2CE6" w:rsidRDefault="00562CE6">
    <w:pPr>
      <w:pStyle w:val="Header"/>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A8AFC2D"/>
    <w:multiLevelType w:val="singleLevel"/>
    <w:tmpl w:val="8A8AFC2D"/>
    <w:lvl w:ilvl="0">
      <w:start w:val="1"/>
      <w:numFmt w:val="bullet"/>
      <w:pStyle w:val="YJ-"/>
      <w:lvlText w:val="─"/>
      <w:lvlJc w:val="left"/>
      <w:pPr>
        <w:ind w:left="420" w:hanging="420"/>
      </w:pPr>
      <w:rPr>
        <w:rFonts w:ascii="Arial" w:hAnsi="Arial" w:cs="Arial" w:hint="default"/>
      </w:rPr>
    </w:lvl>
  </w:abstractNum>
  <w:abstractNum w:abstractNumId="1">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nsid w:val="E8DFD0D5"/>
    <w:multiLevelType w:val="singleLevel"/>
    <w:tmpl w:val="E8DFD0D5"/>
    <w:lvl w:ilvl="0">
      <w:start w:val="1"/>
      <w:numFmt w:val="bullet"/>
      <w:pStyle w:val="YJ-0"/>
      <w:lvlText w:val="‒"/>
      <w:lvlJc w:val="left"/>
      <w:pPr>
        <w:ind w:left="420" w:hanging="420"/>
      </w:pPr>
      <w:rPr>
        <w:rFonts w:ascii="Arial" w:hAnsi="Arial" w:cs="Arial" w:hint="default"/>
      </w:rPr>
    </w:lvl>
  </w:abstractNum>
  <w:abstractNum w:abstractNumId="3">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4">
    <w:nsid w:val="118C646F"/>
    <w:multiLevelType w:val="singleLevel"/>
    <w:tmpl w:val="118C646F"/>
    <w:lvl w:ilvl="0">
      <w:start w:val="1"/>
      <w:numFmt w:val="bullet"/>
      <w:pStyle w:val="YJ-1"/>
      <w:lvlText w:val="●"/>
      <w:lvlJc w:val="left"/>
      <w:pPr>
        <w:ind w:left="420" w:hanging="420"/>
      </w:pPr>
      <w:rPr>
        <w:rFonts w:ascii="Arial" w:hAnsi="Arial" w:cs="Arial" w:hint="default"/>
      </w:rPr>
    </w:lvl>
  </w:abstractNum>
  <w:abstractNum w:abstractNumId="5">
    <w:nsid w:val="1D627649"/>
    <w:multiLevelType w:val="multilevel"/>
    <w:tmpl w:val="1D6276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0F737A4"/>
    <w:multiLevelType w:val="multilevel"/>
    <w:tmpl w:val="30F73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8">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9">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nsid w:val="681E0686"/>
    <w:multiLevelType w:val="multilevel"/>
    <w:tmpl w:val="681E06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7E5C63F1"/>
    <w:multiLevelType w:val="multilevel"/>
    <w:tmpl w:val="7E5C63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8"/>
  </w:num>
  <w:num w:numId="6">
    <w:abstractNumId w:val="7"/>
  </w:num>
  <w:num w:numId="7">
    <w:abstractNumId w:val="1"/>
  </w:num>
  <w:num w:numId="8">
    <w:abstractNumId w:val="9"/>
  </w:num>
  <w:num w:numId="9">
    <w:abstractNumId w:val="11"/>
  </w:num>
  <w:num w:numId="10">
    <w:abstractNumId w:val="6"/>
  </w:num>
  <w:num w:numId="11">
    <w:abstractNumId w:val="10"/>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1"/>
  <w:proofState w:spelling="clean" w:grammar="clean"/>
  <w:stylePaneFormatFilter w:val="3F01"/>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172A27"/>
    <w:rsid w:val="00013881"/>
    <w:rsid w:val="00024AB6"/>
    <w:rsid w:val="00044C3A"/>
    <w:rsid w:val="000633A1"/>
    <w:rsid w:val="000664E5"/>
    <w:rsid w:val="00096470"/>
    <w:rsid w:val="00103B12"/>
    <w:rsid w:val="0010403A"/>
    <w:rsid w:val="00122A04"/>
    <w:rsid w:val="001420A0"/>
    <w:rsid w:val="00162984"/>
    <w:rsid w:val="00167060"/>
    <w:rsid w:val="00172A27"/>
    <w:rsid w:val="001E4987"/>
    <w:rsid w:val="001F09CE"/>
    <w:rsid w:val="002403F7"/>
    <w:rsid w:val="00241A57"/>
    <w:rsid w:val="00253071"/>
    <w:rsid w:val="0028057F"/>
    <w:rsid w:val="00280678"/>
    <w:rsid w:val="002B212C"/>
    <w:rsid w:val="002B61DA"/>
    <w:rsid w:val="002F7080"/>
    <w:rsid w:val="003307D7"/>
    <w:rsid w:val="00361926"/>
    <w:rsid w:val="00387360"/>
    <w:rsid w:val="00394E75"/>
    <w:rsid w:val="003D7824"/>
    <w:rsid w:val="00484B6D"/>
    <w:rsid w:val="004A6BCE"/>
    <w:rsid w:val="004D54E8"/>
    <w:rsid w:val="004D5CD5"/>
    <w:rsid w:val="005117CF"/>
    <w:rsid w:val="0053772C"/>
    <w:rsid w:val="00562CE6"/>
    <w:rsid w:val="0058638B"/>
    <w:rsid w:val="005B065E"/>
    <w:rsid w:val="006C2EDC"/>
    <w:rsid w:val="006E147A"/>
    <w:rsid w:val="0071760B"/>
    <w:rsid w:val="007505B1"/>
    <w:rsid w:val="00761470"/>
    <w:rsid w:val="0076647A"/>
    <w:rsid w:val="0077247A"/>
    <w:rsid w:val="007B41BE"/>
    <w:rsid w:val="00831188"/>
    <w:rsid w:val="00844EEF"/>
    <w:rsid w:val="00874ABC"/>
    <w:rsid w:val="008862AF"/>
    <w:rsid w:val="008A1910"/>
    <w:rsid w:val="008A6ACE"/>
    <w:rsid w:val="008B6DF2"/>
    <w:rsid w:val="008F50C5"/>
    <w:rsid w:val="00920D59"/>
    <w:rsid w:val="0096044C"/>
    <w:rsid w:val="00985DD6"/>
    <w:rsid w:val="00993AD8"/>
    <w:rsid w:val="009942E7"/>
    <w:rsid w:val="00A40B82"/>
    <w:rsid w:val="00A52E0D"/>
    <w:rsid w:val="00A821E4"/>
    <w:rsid w:val="00A86564"/>
    <w:rsid w:val="00A92C2B"/>
    <w:rsid w:val="00AA3176"/>
    <w:rsid w:val="00AC2A9F"/>
    <w:rsid w:val="00AF1563"/>
    <w:rsid w:val="00B61665"/>
    <w:rsid w:val="00B74028"/>
    <w:rsid w:val="00B77B59"/>
    <w:rsid w:val="00B86BED"/>
    <w:rsid w:val="00BE2C17"/>
    <w:rsid w:val="00BE307F"/>
    <w:rsid w:val="00C62321"/>
    <w:rsid w:val="00CA5603"/>
    <w:rsid w:val="00CD68E1"/>
    <w:rsid w:val="00CE65CF"/>
    <w:rsid w:val="00D56BFC"/>
    <w:rsid w:val="00D60BBE"/>
    <w:rsid w:val="00D93E92"/>
    <w:rsid w:val="00DD51C0"/>
    <w:rsid w:val="00E3069A"/>
    <w:rsid w:val="00E74F22"/>
    <w:rsid w:val="00E917E9"/>
    <w:rsid w:val="00EF0340"/>
    <w:rsid w:val="01024017"/>
    <w:rsid w:val="010420EC"/>
    <w:rsid w:val="010745BE"/>
    <w:rsid w:val="011151BA"/>
    <w:rsid w:val="01154DB4"/>
    <w:rsid w:val="01161403"/>
    <w:rsid w:val="01274224"/>
    <w:rsid w:val="012B0F8D"/>
    <w:rsid w:val="013C1B58"/>
    <w:rsid w:val="014443EB"/>
    <w:rsid w:val="01563426"/>
    <w:rsid w:val="01704BC2"/>
    <w:rsid w:val="01706159"/>
    <w:rsid w:val="0171096E"/>
    <w:rsid w:val="01752623"/>
    <w:rsid w:val="01762071"/>
    <w:rsid w:val="01764F01"/>
    <w:rsid w:val="01783805"/>
    <w:rsid w:val="017D53F4"/>
    <w:rsid w:val="018540FF"/>
    <w:rsid w:val="01873025"/>
    <w:rsid w:val="01915388"/>
    <w:rsid w:val="019D2B2D"/>
    <w:rsid w:val="01A345C7"/>
    <w:rsid w:val="01A350DA"/>
    <w:rsid w:val="01A73C0A"/>
    <w:rsid w:val="01AF32C1"/>
    <w:rsid w:val="01BE5538"/>
    <w:rsid w:val="01CA45E2"/>
    <w:rsid w:val="01D65C38"/>
    <w:rsid w:val="01DA0D90"/>
    <w:rsid w:val="01DA201A"/>
    <w:rsid w:val="01E730AA"/>
    <w:rsid w:val="01E84EF9"/>
    <w:rsid w:val="01EC0308"/>
    <w:rsid w:val="01FB0317"/>
    <w:rsid w:val="02025BBD"/>
    <w:rsid w:val="02043F6A"/>
    <w:rsid w:val="0206340D"/>
    <w:rsid w:val="021821DE"/>
    <w:rsid w:val="0218567A"/>
    <w:rsid w:val="0222627E"/>
    <w:rsid w:val="022C4E2E"/>
    <w:rsid w:val="024D6B6A"/>
    <w:rsid w:val="025F000D"/>
    <w:rsid w:val="02872A0F"/>
    <w:rsid w:val="02926F3B"/>
    <w:rsid w:val="02943AE4"/>
    <w:rsid w:val="02993BB3"/>
    <w:rsid w:val="029B04E7"/>
    <w:rsid w:val="029C7DEA"/>
    <w:rsid w:val="02A935F4"/>
    <w:rsid w:val="02AB22A9"/>
    <w:rsid w:val="02B17BF4"/>
    <w:rsid w:val="02B56A74"/>
    <w:rsid w:val="02B91F78"/>
    <w:rsid w:val="02C06C27"/>
    <w:rsid w:val="02C803C7"/>
    <w:rsid w:val="02DB771F"/>
    <w:rsid w:val="02E8295C"/>
    <w:rsid w:val="02EE0025"/>
    <w:rsid w:val="02EF5D98"/>
    <w:rsid w:val="02FC2822"/>
    <w:rsid w:val="0303780C"/>
    <w:rsid w:val="03073BDC"/>
    <w:rsid w:val="0315304D"/>
    <w:rsid w:val="03315854"/>
    <w:rsid w:val="033A0413"/>
    <w:rsid w:val="033A76DB"/>
    <w:rsid w:val="033B0232"/>
    <w:rsid w:val="033C61F0"/>
    <w:rsid w:val="034921E0"/>
    <w:rsid w:val="03775744"/>
    <w:rsid w:val="03791544"/>
    <w:rsid w:val="03845FA4"/>
    <w:rsid w:val="03921D92"/>
    <w:rsid w:val="03967CC5"/>
    <w:rsid w:val="039B4F5A"/>
    <w:rsid w:val="03A455F0"/>
    <w:rsid w:val="03AD3002"/>
    <w:rsid w:val="03C046D7"/>
    <w:rsid w:val="03C10DCA"/>
    <w:rsid w:val="03CC2B69"/>
    <w:rsid w:val="03CE41BE"/>
    <w:rsid w:val="03D442B4"/>
    <w:rsid w:val="03E7135A"/>
    <w:rsid w:val="03E731FD"/>
    <w:rsid w:val="03EF6742"/>
    <w:rsid w:val="03F6619A"/>
    <w:rsid w:val="04047E5A"/>
    <w:rsid w:val="040522E3"/>
    <w:rsid w:val="040D6829"/>
    <w:rsid w:val="041A3F0F"/>
    <w:rsid w:val="04247548"/>
    <w:rsid w:val="043A1CD0"/>
    <w:rsid w:val="043D1718"/>
    <w:rsid w:val="043F3648"/>
    <w:rsid w:val="044C671C"/>
    <w:rsid w:val="044F6A2E"/>
    <w:rsid w:val="0455076B"/>
    <w:rsid w:val="0462479D"/>
    <w:rsid w:val="04630BE7"/>
    <w:rsid w:val="046A713A"/>
    <w:rsid w:val="04754C8A"/>
    <w:rsid w:val="047A53D0"/>
    <w:rsid w:val="04900729"/>
    <w:rsid w:val="0490224C"/>
    <w:rsid w:val="04BD0B88"/>
    <w:rsid w:val="04C20822"/>
    <w:rsid w:val="04C279F0"/>
    <w:rsid w:val="04C4037A"/>
    <w:rsid w:val="04C51A0E"/>
    <w:rsid w:val="04D80409"/>
    <w:rsid w:val="04ED5834"/>
    <w:rsid w:val="04F7220B"/>
    <w:rsid w:val="04F82644"/>
    <w:rsid w:val="05137B22"/>
    <w:rsid w:val="05162FD1"/>
    <w:rsid w:val="051957E6"/>
    <w:rsid w:val="052900D8"/>
    <w:rsid w:val="0529411C"/>
    <w:rsid w:val="05382279"/>
    <w:rsid w:val="053B198E"/>
    <w:rsid w:val="053F6E5B"/>
    <w:rsid w:val="054D03D1"/>
    <w:rsid w:val="054D3CE0"/>
    <w:rsid w:val="054D6D73"/>
    <w:rsid w:val="055132C2"/>
    <w:rsid w:val="0555228E"/>
    <w:rsid w:val="055E1F6A"/>
    <w:rsid w:val="055F4FEE"/>
    <w:rsid w:val="05724FD6"/>
    <w:rsid w:val="05731AE3"/>
    <w:rsid w:val="05782A9C"/>
    <w:rsid w:val="05830BC9"/>
    <w:rsid w:val="058735DC"/>
    <w:rsid w:val="058E1ED0"/>
    <w:rsid w:val="05A627B9"/>
    <w:rsid w:val="05AA1648"/>
    <w:rsid w:val="05AD2285"/>
    <w:rsid w:val="05B505E5"/>
    <w:rsid w:val="05B85882"/>
    <w:rsid w:val="05BC6F5A"/>
    <w:rsid w:val="05C03001"/>
    <w:rsid w:val="05CB1CE5"/>
    <w:rsid w:val="05D67293"/>
    <w:rsid w:val="05D7217A"/>
    <w:rsid w:val="05DC1C82"/>
    <w:rsid w:val="05E078B3"/>
    <w:rsid w:val="05F43059"/>
    <w:rsid w:val="05F75EC7"/>
    <w:rsid w:val="05F83200"/>
    <w:rsid w:val="05FA39B1"/>
    <w:rsid w:val="05FB6C92"/>
    <w:rsid w:val="05FD21C2"/>
    <w:rsid w:val="06080869"/>
    <w:rsid w:val="060E710A"/>
    <w:rsid w:val="0618061E"/>
    <w:rsid w:val="0623611D"/>
    <w:rsid w:val="0624596D"/>
    <w:rsid w:val="06283978"/>
    <w:rsid w:val="062D0659"/>
    <w:rsid w:val="063342DA"/>
    <w:rsid w:val="063D73BF"/>
    <w:rsid w:val="06420293"/>
    <w:rsid w:val="065B3083"/>
    <w:rsid w:val="06645F85"/>
    <w:rsid w:val="06687C82"/>
    <w:rsid w:val="067653E8"/>
    <w:rsid w:val="067942B2"/>
    <w:rsid w:val="067A3F1F"/>
    <w:rsid w:val="067C2FE7"/>
    <w:rsid w:val="067E7300"/>
    <w:rsid w:val="068820C3"/>
    <w:rsid w:val="068A56E6"/>
    <w:rsid w:val="068B5BEF"/>
    <w:rsid w:val="069A4716"/>
    <w:rsid w:val="069B732A"/>
    <w:rsid w:val="06A90C16"/>
    <w:rsid w:val="06AC4492"/>
    <w:rsid w:val="06BB68E1"/>
    <w:rsid w:val="06C96EEB"/>
    <w:rsid w:val="06E61041"/>
    <w:rsid w:val="06E96C8C"/>
    <w:rsid w:val="06EB6010"/>
    <w:rsid w:val="06F80CEB"/>
    <w:rsid w:val="070177A4"/>
    <w:rsid w:val="0703738F"/>
    <w:rsid w:val="07057326"/>
    <w:rsid w:val="0707180F"/>
    <w:rsid w:val="07095899"/>
    <w:rsid w:val="07156080"/>
    <w:rsid w:val="07235B7D"/>
    <w:rsid w:val="072769EE"/>
    <w:rsid w:val="072A08D1"/>
    <w:rsid w:val="07337205"/>
    <w:rsid w:val="073A462C"/>
    <w:rsid w:val="074D2C8B"/>
    <w:rsid w:val="07515280"/>
    <w:rsid w:val="075538AE"/>
    <w:rsid w:val="07607C35"/>
    <w:rsid w:val="07620B17"/>
    <w:rsid w:val="076B0FC3"/>
    <w:rsid w:val="077441C9"/>
    <w:rsid w:val="077D0583"/>
    <w:rsid w:val="077E26D4"/>
    <w:rsid w:val="077E30AB"/>
    <w:rsid w:val="077F53AC"/>
    <w:rsid w:val="07804A4B"/>
    <w:rsid w:val="07983473"/>
    <w:rsid w:val="079A124F"/>
    <w:rsid w:val="079F525E"/>
    <w:rsid w:val="07A432A8"/>
    <w:rsid w:val="07AB1A67"/>
    <w:rsid w:val="07AC285B"/>
    <w:rsid w:val="07AF07F5"/>
    <w:rsid w:val="07B05BB4"/>
    <w:rsid w:val="07BD435C"/>
    <w:rsid w:val="07C525AF"/>
    <w:rsid w:val="07D07B8D"/>
    <w:rsid w:val="07D94A30"/>
    <w:rsid w:val="07E53F92"/>
    <w:rsid w:val="07FE36A5"/>
    <w:rsid w:val="08084936"/>
    <w:rsid w:val="080C6978"/>
    <w:rsid w:val="08131740"/>
    <w:rsid w:val="08182190"/>
    <w:rsid w:val="081D7D58"/>
    <w:rsid w:val="08267E6F"/>
    <w:rsid w:val="082A352F"/>
    <w:rsid w:val="08344BAA"/>
    <w:rsid w:val="08405A1B"/>
    <w:rsid w:val="084805C3"/>
    <w:rsid w:val="085051EB"/>
    <w:rsid w:val="08515B95"/>
    <w:rsid w:val="08695DF3"/>
    <w:rsid w:val="08702828"/>
    <w:rsid w:val="087C51FC"/>
    <w:rsid w:val="087D285E"/>
    <w:rsid w:val="08827780"/>
    <w:rsid w:val="088F07EA"/>
    <w:rsid w:val="08963DA4"/>
    <w:rsid w:val="089A7B43"/>
    <w:rsid w:val="08A218AF"/>
    <w:rsid w:val="08A659A2"/>
    <w:rsid w:val="08B13D31"/>
    <w:rsid w:val="08B33233"/>
    <w:rsid w:val="08BA2B05"/>
    <w:rsid w:val="08C6600A"/>
    <w:rsid w:val="08D92191"/>
    <w:rsid w:val="08E857CD"/>
    <w:rsid w:val="091B192E"/>
    <w:rsid w:val="092162C4"/>
    <w:rsid w:val="092712E8"/>
    <w:rsid w:val="09275802"/>
    <w:rsid w:val="09285C52"/>
    <w:rsid w:val="09296051"/>
    <w:rsid w:val="0930675F"/>
    <w:rsid w:val="09313C91"/>
    <w:rsid w:val="09457BBF"/>
    <w:rsid w:val="094A546D"/>
    <w:rsid w:val="094C67AB"/>
    <w:rsid w:val="09506C8E"/>
    <w:rsid w:val="0953583F"/>
    <w:rsid w:val="0959752D"/>
    <w:rsid w:val="095D0DE8"/>
    <w:rsid w:val="0967169A"/>
    <w:rsid w:val="09675330"/>
    <w:rsid w:val="09777B7C"/>
    <w:rsid w:val="09806823"/>
    <w:rsid w:val="09826199"/>
    <w:rsid w:val="098616B1"/>
    <w:rsid w:val="098958CD"/>
    <w:rsid w:val="098E04A8"/>
    <w:rsid w:val="09916A50"/>
    <w:rsid w:val="09960499"/>
    <w:rsid w:val="09964D77"/>
    <w:rsid w:val="09A459A2"/>
    <w:rsid w:val="09AE4734"/>
    <w:rsid w:val="09B60963"/>
    <w:rsid w:val="09C6366B"/>
    <w:rsid w:val="09CB0E49"/>
    <w:rsid w:val="09CB56F1"/>
    <w:rsid w:val="09D472A4"/>
    <w:rsid w:val="09DC2823"/>
    <w:rsid w:val="09E13971"/>
    <w:rsid w:val="09F67CD5"/>
    <w:rsid w:val="09F91F23"/>
    <w:rsid w:val="0A0D4DD1"/>
    <w:rsid w:val="0A0E1CB8"/>
    <w:rsid w:val="0A1D310C"/>
    <w:rsid w:val="0A2B58A1"/>
    <w:rsid w:val="0A2F526E"/>
    <w:rsid w:val="0A2F77CF"/>
    <w:rsid w:val="0A413AAB"/>
    <w:rsid w:val="0A4E4049"/>
    <w:rsid w:val="0A5507E1"/>
    <w:rsid w:val="0A5F36A3"/>
    <w:rsid w:val="0A67782C"/>
    <w:rsid w:val="0A677B43"/>
    <w:rsid w:val="0A6B7088"/>
    <w:rsid w:val="0A776899"/>
    <w:rsid w:val="0A800353"/>
    <w:rsid w:val="0A891134"/>
    <w:rsid w:val="0A954F7A"/>
    <w:rsid w:val="0AAD3FD7"/>
    <w:rsid w:val="0AB2186B"/>
    <w:rsid w:val="0AB31280"/>
    <w:rsid w:val="0AB93EFD"/>
    <w:rsid w:val="0AB94512"/>
    <w:rsid w:val="0AD920FF"/>
    <w:rsid w:val="0AE145FC"/>
    <w:rsid w:val="0AE54EF2"/>
    <w:rsid w:val="0AE92B93"/>
    <w:rsid w:val="0AEB1B5A"/>
    <w:rsid w:val="0AF061FD"/>
    <w:rsid w:val="0AF3725D"/>
    <w:rsid w:val="0AF530AA"/>
    <w:rsid w:val="0AF54EAE"/>
    <w:rsid w:val="0B015A15"/>
    <w:rsid w:val="0B124861"/>
    <w:rsid w:val="0B1422F2"/>
    <w:rsid w:val="0B1E4E28"/>
    <w:rsid w:val="0B2445EF"/>
    <w:rsid w:val="0B284B32"/>
    <w:rsid w:val="0B2A5F85"/>
    <w:rsid w:val="0B2C68CC"/>
    <w:rsid w:val="0B2C7957"/>
    <w:rsid w:val="0B2D7BF5"/>
    <w:rsid w:val="0B3A0AE2"/>
    <w:rsid w:val="0B3F5D1C"/>
    <w:rsid w:val="0B4C70E0"/>
    <w:rsid w:val="0B582F49"/>
    <w:rsid w:val="0B595588"/>
    <w:rsid w:val="0B6250E6"/>
    <w:rsid w:val="0B6A0770"/>
    <w:rsid w:val="0B865AC8"/>
    <w:rsid w:val="0B8A2759"/>
    <w:rsid w:val="0B93759E"/>
    <w:rsid w:val="0B9B2E6B"/>
    <w:rsid w:val="0B9E71DF"/>
    <w:rsid w:val="0BA75E24"/>
    <w:rsid w:val="0BAA0F6A"/>
    <w:rsid w:val="0BAD2433"/>
    <w:rsid w:val="0BC91C0B"/>
    <w:rsid w:val="0BD45675"/>
    <w:rsid w:val="0BD93DC0"/>
    <w:rsid w:val="0BE02AEF"/>
    <w:rsid w:val="0BE349DB"/>
    <w:rsid w:val="0BE446B5"/>
    <w:rsid w:val="0BE51D3B"/>
    <w:rsid w:val="0BF83FF8"/>
    <w:rsid w:val="0BFC28C5"/>
    <w:rsid w:val="0C0A417B"/>
    <w:rsid w:val="0C160D7E"/>
    <w:rsid w:val="0C273852"/>
    <w:rsid w:val="0C3E707F"/>
    <w:rsid w:val="0C4A2746"/>
    <w:rsid w:val="0C64037F"/>
    <w:rsid w:val="0C683CE7"/>
    <w:rsid w:val="0C751515"/>
    <w:rsid w:val="0C770647"/>
    <w:rsid w:val="0C7F6987"/>
    <w:rsid w:val="0C7F7C7A"/>
    <w:rsid w:val="0C834D7C"/>
    <w:rsid w:val="0C8A3E96"/>
    <w:rsid w:val="0C8B55FA"/>
    <w:rsid w:val="0C8C3A83"/>
    <w:rsid w:val="0C9105D0"/>
    <w:rsid w:val="0C9A0BCD"/>
    <w:rsid w:val="0CA106BB"/>
    <w:rsid w:val="0CA54267"/>
    <w:rsid w:val="0CA9197D"/>
    <w:rsid w:val="0CAB3F90"/>
    <w:rsid w:val="0CB43312"/>
    <w:rsid w:val="0CB82850"/>
    <w:rsid w:val="0CB949AC"/>
    <w:rsid w:val="0CBC340A"/>
    <w:rsid w:val="0CC1241D"/>
    <w:rsid w:val="0CC47B57"/>
    <w:rsid w:val="0CC61767"/>
    <w:rsid w:val="0CC94E54"/>
    <w:rsid w:val="0CD62C08"/>
    <w:rsid w:val="0CEB3142"/>
    <w:rsid w:val="0CEE0FB6"/>
    <w:rsid w:val="0CF94FB5"/>
    <w:rsid w:val="0CFC29E9"/>
    <w:rsid w:val="0D0F7A2F"/>
    <w:rsid w:val="0D2000BB"/>
    <w:rsid w:val="0D296217"/>
    <w:rsid w:val="0D33478E"/>
    <w:rsid w:val="0D3A6A30"/>
    <w:rsid w:val="0D641F34"/>
    <w:rsid w:val="0D665235"/>
    <w:rsid w:val="0D6763AB"/>
    <w:rsid w:val="0D6A02B3"/>
    <w:rsid w:val="0D6A5516"/>
    <w:rsid w:val="0D7015E8"/>
    <w:rsid w:val="0D791628"/>
    <w:rsid w:val="0D884251"/>
    <w:rsid w:val="0D89106D"/>
    <w:rsid w:val="0D8A36E0"/>
    <w:rsid w:val="0D9610DF"/>
    <w:rsid w:val="0D987EB4"/>
    <w:rsid w:val="0D9B7998"/>
    <w:rsid w:val="0DC3406C"/>
    <w:rsid w:val="0DCD5949"/>
    <w:rsid w:val="0DD06388"/>
    <w:rsid w:val="0DD332FE"/>
    <w:rsid w:val="0DD445CC"/>
    <w:rsid w:val="0DD613DA"/>
    <w:rsid w:val="0DE434F1"/>
    <w:rsid w:val="0DF005BF"/>
    <w:rsid w:val="0E017021"/>
    <w:rsid w:val="0E021D38"/>
    <w:rsid w:val="0E0A2EA9"/>
    <w:rsid w:val="0E0B258D"/>
    <w:rsid w:val="0E153477"/>
    <w:rsid w:val="0E2672BD"/>
    <w:rsid w:val="0E2754AC"/>
    <w:rsid w:val="0E2A4896"/>
    <w:rsid w:val="0E2B4373"/>
    <w:rsid w:val="0E2C605B"/>
    <w:rsid w:val="0E4279D3"/>
    <w:rsid w:val="0E486EDB"/>
    <w:rsid w:val="0E4916B1"/>
    <w:rsid w:val="0E4C094F"/>
    <w:rsid w:val="0E4E03F5"/>
    <w:rsid w:val="0E520DE5"/>
    <w:rsid w:val="0E527D25"/>
    <w:rsid w:val="0E5321F2"/>
    <w:rsid w:val="0E5F307C"/>
    <w:rsid w:val="0E604DE4"/>
    <w:rsid w:val="0E6721E9"/>
    <w:rsid w:val="0E69498C"/>
    <w:rsid w:val="0E6D472E"/>
    <w:rsid w:val="0E6D5B9B"/>
    <w:rsid w:val="0E733067"/>
    <w:rsid w:val="0E773678"/>
    <w:rsid w:val="0E7B0BCF"/>
    <w:rsid w:val="0E7B77BC"/>
    <w:rsid w:val="0E832744"/>
    <w:rsid w:val="0EAF3953"/>
    <w:rsid w:val="0EB04C56"/>
    <w:rsid w:val="0EB3197E"/>
    <w:rsid w:val="0EC318F6"/>
    <w:rsid w:val="0EC82372"/>
    <w:rsid w:val="0ECD4B91"/>
    <w:rsid w:val="0ED455A5"/>
    <w:rsid w:val="0ED633E9"/>
    <w:rsid w:val="0ED64864"/>
    <w:rsid w:val="0EEA7392"/>
    <w:rsid w:val="0EEE3485"/>
    <w:rsid w:val="0EF76D46"/>
    <w:rsid w:val="0EFB1279"/>
    <w:rsid w:val="0EFC45BC"/>
    <w:rsid w:val="0EFE39F3"/>
    <w:rsid w:val="0F023D70"/>
    <w:rsid w:val="0F126A25"/>
    <w:rsid w:val="0F152CC0"/>
    <w:rsid w:val="0F2A6676"/>
    <w:rsid w:val="0F2D05EC"/>
    <w:rsid w:val="0F2E6414"/>
    <w:rsid w:val="0F391688"/>
    <w:rsid w:val="0F3B5FD6"/>
    <w:rsid w:val="0F423F9E"/>
    <w:rsid w:val="0F427111"/>
    <w:rsid w:val="0F48017D"/>
    <w:rsid w:val="0F4F0568"/>
    <w:rsid w:val="0F4F56C5"/>
    <w:rsid w:val="0F5675E1"/>
    <w:rsid w:val="0F576761"/>
    <w:rsid w:val="0F594014"/>
    <w:rsid w:val="0F5D6131"/>
    <w:rsid w:val="0F5E5202"/>
    <w:rsid w:val="0F837823"/>
    <w:rsid w:val="0F945A0D"/>
    <w:rsid w:val="0F9939BC"/>
    <w:rsid w:val="0F9E41D8"/>
    <w:rsid w:val="0FA228F9"/>
    <w:rsid w:val="0FAB3C59"/>
    <w:rsid w:val="0FB24083"/>
    <w:rsid w:val="0FB34ED3"/>
    <w:rsid w:val="0FBA5A26"/>
    <w:rsid w:val="0FBF2B9F"/>
    <w:rsid w:val="0FC60C10"/>
    <w:rsid w:val="0FC771A9"/>
    <w:rsid w:val="0FCA6675"/>
    <w:rsid w:val="0FD3292D"/>
    <w:rsid w:val="0FD473B1"/>
    <w:rsid w:val="0FD47DBF"/>
    <w:rsid w:val="0FDF2733"/>
    <w:rsid w:val="0FE02B18"/>
    <w:rsid w:val="0FEB6BED"/>
    <w:rsid w:val="0FF7049F"/>
    <w:rsid w:val="0FFF4DB1"/>
    <w:rsid w:val="1004407B"/>
    <w:rsid w:val="10054669"/>
    <w:rsid w:val="102E5E45"/>
    <w:rsid w:val="10344E73"/>
    <w:rsid w:val="104427F5"/>
    <w:rsid w:val="10450166"/>
    <w:rsid w:val="10545BDA"/>
    <w:rsid w:val="10615396"/>
    <w:rsid w:val="106D04B6"/>
    <w:rsid w:val="1070642D"/>
    <w:rsid w:val="107D667F"/>
    <w:rsid w:val="10944CFC"/>
    <w:rsid w:val="109468EA"/>
    <w:rsid w:val="109B6481"/>
    <w:rsid w:val="109E39E8"/>
    <w:rsid w:val="10A50104"/>
    <w:rsid w:val="10B33C90"/>
    <w:rsid w:val="10C253FE"/>
    <w:rsid w:val="10C90D64"/>
    <w:rsid w:val="10DE020B"/>
    <w:rsid w:val="10DE455D"/>
    <w:rsid w:val="10E04F8B"/>
    <w:rsid w:val="10F044C0"/>
    <w:rsid w:val="10F608C9"/>
    <w:rsid w:val="11025DC5"/>
    <w:rsid w:val="110E6EBA"/>
    <w:rsid w:val="111C535D"/>
    <w:rsid w:val="113913D9"/>
    <w:rsid w:val="11467208"/>
    <w:rsid w:val="115017D4"/>
    <w:rsid w:val="1157643E"/>
    <w:rsid w:val="1158751D"/>
    <w:rsid w:val="117D2269"/>
    <w:rsid w:val="117D2C0A"/>
    <w:rsid w:val="118C5AFD"/>
    <w:rsid w:val="1190757D"/>
    <w:rsid w:val="11925E9C"/>
    <w:rsid w:val="1193651D"/>
    <w:rsid w:val="119D7849"/>
    <w:rsid w:val="11AC2D66"/>
    <w:rsid w:val="11AF4EF2"/>
    <w:rsid w:val="11B1274D"/>
    <w:rsid w:val="11B13D75"/>
    <w:rsid w:val="11B77C09"/>
    <w:rsid w:val="11BF1DBD"/>
    <w:rsid w:val="11EC605F"/>
    <w:rsid w:val="11ED11D3"/>
    <w:rsid w:val="120121B4"/>
    <w:rsid w:val="12014253"/>
    <w:rsid w:val="12044772"/>
    <w:rsid w:val="120847CC"/>
    <w:rsid w:val="12096F2D"/>
    <w:rsid w:val="120A3598"/>
    <w:rsid w:val="120A72FD"/>
    <w:rsid w:val="121A717E"/>
    <w:rsid w:val="12201373"/>
    <w:rsid w:val="122317E4"/>
    <w:rsid w:val="122659C0"/>
    <w:rsid w:val="122C4293"/>
    <w:rsid w:val="123379DD"/>
    <w:rsid w:val="12362FBF"/>
    <w:rsid w:val="12482C1C"/>
    <w:rsid w:val="125B0A07"/>
    <w:rsid w:val="125C6E16"/>
    <w:rsid w:val="12611236"/>
    <w:rsid w:val="1268069E"/>
    <w:rsid w:val="126D2F21"/>
    <w:rsid w:val="127B4943"/>
    <w:rsid w:val="127D6A54"/>
    <w:rsid w:val="127F7494"/>
    <w:rsid w:val="128F346E"/>
    <w:rsid w:val="12901F1B"/>
    <w:rsid w:val="12932913"/>
    <w:rsid w:val="12942469"/>
    <w:rsid w:val="12B95E94"/>
    <w:rsid w:val="12BE767F"/>
    <w:rsid w:val="12CA69FF"/>
    <w:rsid w:val="12CB633F"/>
    <w:rsid w:val="130A046E"/>
    <w:rsid w:val="130D4CC4"/>
    <w:rsid w:val="13242588"/>
    <w:rsid w:val="13551E90"/>
    <w:rsid w:val="135A7350"/>
    <w:rsid w:val="13623C32"/>
    <w:rsid w:val="136333F6"/>
    <w:rsid w:val="136960E1"/>
    <w:rsid w:val="136E3122"/>
    <w:rsid w:val="136F5690"/>
    <w:rsid w:val="138773D2"/>
    <w:rsid w:val="138E32A7"/>
    <w:rsid w:val="13924C22"/>
    <w:rsid w:val="1398334A"/>
    <w:rsid w:val="139B7DE2"/>
    <w:rsid w:val="13A41A6F"/>
    <w:rsid w:val="13AE52B8"/>
    <w:rsid w:val="13AF08CD"/>
    <w:rsid w:val="13B3551B"/>
    <w:rsid w:val="13BA48F1"/>
    <w:rsid w:val="13C23214"/>
    <w:rsid w:val="13C65465"/>
    <w:rsid w:val="13CC42D2"/>
    <w:rsid w:val="13CD1274"/>
    <w:rsid w:val="13CD4DB9"/>
    <w:rsid w:val="13D35B4E"/>
    <w:rsid w:val="13D933F2"/>
    <w:rsid w:val="13EB658C"/>
    <w:rsid w:val="13ED678C"/>
    <w:rsid w:val="13F600BC"/>
    <w:rsid w:val="13F66DE9"/>
    <w:rsid w:val="13FE6244"/>
    <w:rsid w:val="13FF4B2E"/>
    <w:rsid w:val="142C7957"/>
    <w:rsid w:val="143E1AFB"/>
    <w:rsid w:val="143F4D76"/>
    <w:rsid w:val="14526DB4"/>
    <w:rsid w:val="145915D2"/>
    <w:rsid w:val="145B1240"/>
    <w:rsid w:val="1467629C"/>
    <w:rsid w:val="146858A8"/>
    <w:rsid w:val="147A6D56"/>
    <w:rsid w:val="147B70DE"/>
    <w:rsid w:val="148A7C75"/>
    <w:rsid w:val="14903A6D"/>
    <w:rsid w:val="14A20762"/>
    <w:rsid w:val="14A444A4"/>
    <w:rsid w:val="14A63BBC"/>
    <w:rsid w:val="14B864F6"/>
    <w:rsid w:val="14D64112"/>
    <w:rsid w:val="14D92F73"/>
    <w:rsid w:val="14DA3DA1"/>
    <w:rsid w:val="14E24B0D"/>
    <w:rsid w:val="14E62F90"/>
    <w:rsid w:val="14EC2441"/>
    <w:rsid w:val="14F17933"/>
    <w:rsid w:val="14F41DE1"/>
    <w:rsid w:val="15062C27"/>
    <w:rsid w:val="15123F8D"/>
    <w:rsid w:val="15161D57"/>
    <w:rsid w:val="151B682B"/>
    <w:rsid w:val="151D7B80"/>
    <w:rsid w:val="152C14BA"/>
    <w:rsid w:val="152C49BD"/>
    <w:rsid w:val="1532467B"/>
    <w:rsid w:val="153767AD"/>
    <w:rsid w:val="15396D9B"/>
    <w:rsid w:val="153E18A0"/>
    <w:rsid w:val="154064BB"/>
    <w:rsid w:val="15416707"/>
    <w:rsid w:val="154D00A8"/>
    <w:rsid w:val="155E1796"/>
    <w:rsid w:val="15786420"/>
    <w:rsid w:val="15865354"/>
    <w:rsid w:val="158A342F"/>
    <w:rsid w:val="15990263"/>
    <w:rsid w:val="15A359DC"/>
    <w:rsid w:val="15AF34B3"/>
    <w:rsid w:val="15B52119"/>
    <w:rsid w:val="15B71D80"/>
    <w:rsid w:val="15BD1C6E"/>
    <w:rsid w:val="15BF4E76"/>
    <w:rsid w:val="15CC0B13"/>
    <w:rsid w:val="15D15B3F"/>
    <w:rsid w:val="15D44EB4"/>
    <w:rsid w:val="15D84F0A"/>
    <w:rsid w:val="15DF7B32"/>
    <w:rsid w:val="15E059DD"/>
    <w:rsid w:val="15E71C3C"/>
    <w:rsid w:val="15F90DBE"/>
    <w:rsid w:val="16015F98"/>
    <w:rsid w:val="16097248"/>
    <w:rsid w:val="16106AEF"/>
    <w:rsid w:val="16106BD6"/>
    <w:rsid w:val="161266FD"/>
    <w:rsid w:val="161B6C0A"/>
    <w:rsid w:val="161C05B0"/>
    <w:rsid w:val="161F2E93"/>
    <w:rsid w:val="16202479"/>
    <w:rsid w:val="16203528"/>
    <w:rsid w:val="16211297"/>
    <w:rsid w:val="16217C5C"/>
    <w:rsid w:val="16313EB2"/>
    <w:rsid w:val="163C6FB6"/>
    <w:rsid w:val="163F0545"/>
    <w:rsid w:val="16454149"/>
    <w:rsid w:val="164D5416"/>
    <w:rsid w:val="164F245B"/>
    <w:rsid w:val="164F569A"/>
    <w:rsid w:val="165E0D78"/>
    <w:rsid w:val="16652187"/>
    <w:rsid w:val="166D170C"/>
    <w:rsid w:val="167252A8"/>
    <w:rsid w:val="16740CD8"/>
    <w:rsid w:val="16775952"/>
    <w:rsid w:val="16871657"/>
    <w:rsid w:val="168929EB"/>
    <w:rsid w:val="168A0C58"/>
    <w:rsid w:val="168B5852"/>
    <w:rsid w:val="16955938"/>
    <w:rsid w:val="16A02E91"/>
    <w:rsid w:val="16BA67BB"/>
    <w:rsid w:val="16BF4367"/>
    <w:rsid w:val="16C67B6B"/>
    <w:rsid w:val="16CD5182"/>
    <w:rsid w:val="16D40A63"/>
    <w:rsid w:val="16E127EE"/>
    <w:rsid w:val="16E85BC8"/>
    <w:rsid w:val="16EE7CB8"/>
    <w:rsid w:val="16F73FC5"/>
    <w:rsid w:val="16FC7DF8"/>
    <w:rsid w:val="170222A3"/>
    <w:rsid w:val="1708316C"/>
    <w:rsid w:val="170A21E9"/>
    <w:rsid w:val="17155857"/>
    <w:rsid w:val="171972B5"/>
    <w:rsid w:val="172F0C22"/>
    <w:rsid w:val="17314054"/>
    <w:rsid w:val="17386D34"/>
    <w:rsid w:val="17405A90"/>
    <w:rsid w:val="17463921"/>
    <w:rsid w:val="175E0366"/>
    <w:rsid w:val="176B15C3"/>
    <w:rsid w:val="176F5A54"/>
    <w:rsid w:val="1771070D"/>
    <w:rsid w:val="177A603C"/>
    <w:rsid w:val="177E0C30"/>
    <w:rsid w:val="17800D77"/>
    <w:rsid w:val="17837B53"/>
    <w:rsid w:val="1795790D"/>
    <w:rsid w:val="17980AA7"/>
    <w:rsid w:val="179B128F"/>
    <w:rsid w:val="17BE355A"/>
    <w:rsid w:val="17C94943"/>
    <w:rsid w:val="17DA7B08"/>
    <w:rsid w:val="17E4321E"/>
    <w:rsid w:val="17F72525"/>
    <w:rsid w:val="17F953B5"/>
    <w:rsid w:val="17FA3DFC"/>
    <w:rsid w:val="180065DA"/>
    <w:rsid w:val="18026707"/>
    <w:rsid w:val="18101C1A"/>
    <w:rsid w:val="181516CE"/>
    <w:rsid w:val="1824741A"/>
    <w:rsid w:val="182D477A"/>
    <w:rsid w:val="183613F9"/>
    <w:rsid w:val="18371862"/>
    <w:rsid w:val="184A338A"/>
    <w:rsid w:val="184D3537"/>
    <w:rsid w:val="18510865"/>
    <w:rsid w:val="18521C5B"/>
    <w:rsid w:val="18583996"/>
    <w:rsid w:val="185C01D3"/>
    <w:rsid w:val="18631562"/>
    <w:rsid w:val="186B121D"/>
    <w:rsid w:val="18717739"/>
    <w:rsid w:val="187F71BF"/>
    <w:rsid w:val="18823F4E"/>
    <w:rsid w:val="188322F5"/>
    <w:rsid w:val="188726BF"/>
    <w:rsid w:val="18882E46"/>
    <w:rsid w:val="18884C74"/>
    <w:rsid w:val="18896D9F"/>
    <w:rsid w:val="188A5224"/>
    <w:rsid w:val="18A21BA6"/>
    <w:rsid w:val="18AF07DA"/>
    <w:rsid w:val="18DA7F6C"/>
    <w:rsid w:val="18EC401F"/>
    <w:rsid w:val="18F314E3"/>
    <w:rsid w:val="18F94C1C"/>
    <w:rsid w:val="19010C43"/>
    <w:rsid w:val="19084C73"/>
    <w:rsid w:val="190A5FEA"/>
    <w:rsid w:val="1914546C"/>
    <w:rsid w:val="192119A3"/>
    <w:rsid w:val="192708CD"/>
    <w:rsid w:val="19533259"/>
    <w:rsid w:val="19541FCA"/>
    <w:rsid w:val="196841FC"/>
    <w:rsid w:val="196B7758"/>
    <w:rsid w:val="196C656E"/>
    <w:rsid w:val="19781B9C"/>
    <w:rsid w:val="19825926"/>
    <w:rsid w:val="19B231C8"/>
    <w:rsid w:val="19B746B3"/>
    <w:rsid w:val="19C72F0D"/>
    <w:rsid w:val="19C96C59"/>
    <w:rsid w:val="19CB024E"/>
    <w:rsid w:val="19E33A90"/>
    <w:rsid w:val="19E34302"/>
    <w:rsid w:val="19E352BB"/>
    <w:rsid w:val="19E72A06"/>
    <w:rsid w:val="19FF6879"/>
    <w:rsid w:val="1A004613"/>
    <w:rsid w:val="1A0468D6"/>
    <w:rsid w:val="1A054259"/>
    <w:rsid w:val="1A061D83"/>
    <w:rsid w:val="1A0D341B"/>
    <w:rsid w:val="1A0E338C"/>
    <w:rsid w:val="1A0E7DD3"/>
    <w:rsid w:val="1A136133"/>
    <w:rsid w:val="1A1D6194"/>
    <w:rsid w:val="1A1E470E"/>
    <w:rsid w:val="1A1E5981"/>
    <w:rsid w:val="1A33453C"/>
    <w:rsid w:val="1A647F33"/>
    <w:rsid w:val="1A6603A0"/>
    <w:rsid w:val="1A797CAF"/>
    <w:rsid w:val="1A812BCA"/>
    <w:rsid w:val="1A8717F0"/>
    <w:rsid w:val="1A8B3B30"/>
    <w:rsid w:val="1A8B6768"/>
    <w:rsid w:val="1A8C3EF7"/>
    <w:rsid w:val="1A981918"/>
    <w:rsid w:val="1AA106BF"/>
    <w:rsid w:val="1AA42414"/>
    <w:rsid w:val="1AA84AC2"/>
    <w:rsid w:val="1AAA5F19"/>
    <w:rsid w:val="1AB46F8D"/>
    <w:rsid w:val="1ABE061A"/>
    <w:rsid w:val="1AE244F5"/>
    <w:rsid w:val="1B054B41"/>
    <w:rsid w:val="1B0A6041"/>
    <w:rsid w:val="1B0B43E8"/>
    <w:rsid w:val="1B0C497B"/>
    <w:rsid w:val="1B166CCC"/>
    <w:rsid w:val="1B1D7F7C"/>
    <w:rsid w:val="1B1F12FD"/>
    <w:rsid w:val="1B251C40"/>
    <w:rsid w:val="1B2E7F73"/>
    <w:rsid w:val="1B2F3D53"/>
    <w:rsid w:val="1B3B6E62"/>
    <w:rsid w:val="1B3F3044"/>
    <w:rsid w:val="1B414B2F"/>
    <w:rsid w:val="1B424289"/>
    <w:rsid w:val="1B4F777A"/>
    <w:rsid w:val="1B596EDA"/>
    <w:rsid w:val="1B670180"/>
    <w:rsid w:val="1B732F75"/>
    <w:rsid w:val="1B785F52"/>
    <w:rsid w:val="1B7E574D"/>
    <w:rsid w:val="1B7F6005"/>
    <w:rsid w:val="1B8B0B2E"/>
    <w:rsid w:val="1B996358"/>
    <w:rsid w:val="1B9B6060"/>
    <w:rsid w:val="1BA345ED"/>
    <w:rsid w:val="1BA43D4B"/>
    <w:rsid w:val="1BA7043B"/>
    <w:rsid w:val="1BAE3841"/>
    <w:rsid w:val="1BB156E3"/>
    <w:rsid w:val="1BC167BA"/>
    <w:rsid w:val="1BC56836"/>
    <w:rsid w:val="1BCE5E69"/>
    <w:rsid w:val="1BCF2A06"/>
    <w:rsid w:val="1BD42F73"/>
    <w:rsid w:val="1BD459B4"/>
    <w:rsid w:val="1BD60B70"/>
    <w:rsid w:val="1BE60F3A"/>
    <w:rsid w:val="1BEA41CC"/>
    <w:rsid w:val="1BEA65F4"/>
    <w:rsid w:val="1BED09A4"/>
    <w:rsid w:val="1BF7671C"/>
    <w:rsid w:val="1C0516EF"/>
    <w:rsid w:val="1C132CB9"/>
    <w:rsid w:val="1C13637A"/>
    <w:rsid w:val="1C2052EB"/>
    <w:rsid w:val="1C2749FB"/>
    <w:rsid w:val="1C2D47DC"/>
    <w:rsid w:val="1C3A5180"/>
    <w:rsid w:val="1C405576"/>
    <w:rsid w:val="1C433FE7"/>
    <w:rsid w:val="1C4558F4"/>
    <w:rsid w:val="1C5857E2"/>
    <w:rsid w:val="1C5F1D7C"/>
    <w:rsid w:val="1C6C6C70"/>
    <w:rsid w:val="1C73080B"/>
    <w:rsid w:val="1C732E7B"/>
    <w:rsid w:val="1C7C0422"/>
    <w:rsid w:val="1C7C7CA8"/>
    <w:rsid w:val="1C7F2F32"/>
    <w:rsid w:val="1C81365E"/>
    <w:rsid w:val="1C831FA4"/>
    <w:rsid w:val="1C8D4DF9"/>
    <w:rsid w:val="1C8D614B"/>
    <w:rsid w:val="1C963C5C"/>
    <w:rsid w:val="1CA933F1"/>
    <w:rsid w:val="1CAA634E"/>
    <w:rsid w:val="1CB13033"/>
    <w:rsid w:val="1CB659F3"/>
    <w:rsid w:val="1CB81113"/>
    <w:rsid w:val="1CC37779"/>
    <w:rsid w:val="1CCC26CA"/>
    <w:rsid w:val="1CF27E4F"/>
    <w:rsid w:val="1CFB7DF3"/>
    <w:rsid w:val="1CFE482B"/>
    <w:rsid w:val="1D106F36"/>
    <w:rsid w:val="1D1071CB"/>
    <w:rsid w:val="1D16408A"/>
    <w:rsid w:val="1D190CEE"/>
    <w:rsid w:val="1D19133B"/>
    <w:rsid w:val="1D293077"/>
    <w:rsid w:val="1D2C02AA"/>
    <w:rsid w:val="1D454AEA"/>
    <w:rsid w:val="1D4D3D8B"/>
    <w:rsid w:val="1D5818F5"/>
    <w:rsid w:val="1D7A076D"/>
    <w:rsid w:val="1D8012F9"/>
    <w:rsid w:val="1D864284"/>
    <w:rsid w:val="1D887945"/>
    <w:rsid w:val="1D99647F"/>
    <w:rsid w:val="1D9A01D8"/>
    <w:rsid w:val="1D9C0217"/>
    <w:rsid w:val="1DA679E3"/>
    <w:rsid w:val="1DB33A6C"/>
    <w:rsid w:val="1DBE3EE2"/>
    <w:rsid w:val="1DC138E4"/>
    <w:rsid w:val="1DC16B70"/>
    <w:rsid w:val="1DD756E0"/>
    <w:rsid w:val="1DDB5076"/>
    <w:rsid w:val="1DDD5490"/>
    <w:rsid w:val="1DF03525"/>
    <w:rsid w:val="1E0A6F69"/>
    <w:rsid w:val="1E0D0019"/>
    <w:rsid w:val="1E0D4593"/>
    <w:rsid w:val="1E0F26AC"/>
    <w:rsid w:val="1E166C30"/>
    <w:rsid w:val="1E207A59"/>
    <w:rsid w:val="1E2A23AA"/>
    <w:rsid w:val="1E2D3BD8"/>
    <w:rsid w:val="1E3D36D7"/>
    <w:rsid w:val="1E4C1F8F"/>
    <w:rsid w:val="1E4C36F0"/>
    <w:rsid w:val="1E592781"/>
    <w:rsid w:val="1E5E1663"/>
    <w:rsid w:val="1E7A2407"/>
    <w:rsid w:val="1E9917C4"/>
    <w:rsid w:val="1E996A35"/>
    <w:rsid w:val="1E9D6342"/>
    <w:rsid w:val="1EA56053"/>
    <w:rsid w:val="1EA82573"/>
    <w:rsid w:val="1EB80575"/>
    <w:rsid w:val="1EB96D3C"/>
    <w:rsid w:val="1EC00474"/>
    <w:rsid w:val="1EC363AD"/>
    <w:rsid w:val="1ECB6924"/>
    <w:rsid w:val="1ECD05EA"/>
    <w:rsid w:val="1EDF5251"/>
    <w:rsid w:val="1EDF7CD9"/>
    <w:rsid w:val="1EE05418"/>
    <w:rsid w:val="1EE75241"/>
    <w:rsid w:val="1EEB3A20"/>
    <w:rsid w:val="1EEE025F"/>
    <w:rsid w:val="1EF30A6C"/>
    <w:rsid w:val="1F031365"/>
    <w:rsid w:val="1F06372F"/>
    <w:rsid w:val="1F07107F"/>
    <w:rsid w:val="1F071B36"/>
    <w:rsid w:val="1F1220E6"/>
    <w:rsid w:val="1F22737A"/>
    <w:rsid w:val="1F3104D7"/>
    <w:rsid w:val="1F347BFD"/>
    <w:rsid w:val="1F355010"/>
    <w:rsid w:val="1F3B79B6"/>
    <w:rsid w:val="1F47648A"/>
    <w:rsid w:val="1F5C089A"/>
    <w:rsid w:val="1F643FCD"/>
    <w:rsid w:val="1F667C5D"/>
    <w:rsid w:val="1F7C1837"/>
    <w:rsid w:val="1F804543"/>
    <w:rsid w:val="1F882196"/>
    <w:rsid w:val="1F890A57"/>
    <w:rsid w:val="1F9F2F34"/>
    <w:rsid w:val="1FB2777A"/>
    <w:rsid w:val="1FB40D9E"/>
    <w:rsid w:val="1FB670F8"/>
    <w:rsid w:val="1FBC78EC"/>
    <w:rsid w:val="1FC915CF"/>
    <w:rsid w:val="1FD17F82"/>
    <w:rsid w:val="1FD36DA6"/>
    <w:rsid w:val="1FE5522C"/>
    <w:rsid w:val="1FE95CD9"/>
    <w:rsid w:val="1FF2129F"/>
    <w:rsid w:val="1FF277F9"/>
    <w:rsid w:val="1FF441EF"/>
    <w:rsid w:val="1FF734BD"/>
    <w:rsid w:val="1FFF202C"/>
    <w:rsid w:val="200451F6"/>
    <w:rsid w:val="200636C2"/>
    <w:rsid w:val="201274C2"/>
    <w:rsid w:val="20141A18"/>
    <w:rsid w:val="20226C97"/>
    <w:rsid w:val="202B27AD"/>
    <w:rsid w:val="202E05F7"/>
    <w:rsid w:val="203C387F"/>
    <w:rsid w:val="204E4887"/>
    <w:rsid w:val="204E6676"/>
    <w:rsid w:val="205816D1"/>
    <w:rsid w:val="20582063"/>
    <w:rsid w:val="205F3555"/>
    <w:rsid w:val="206852B7"/>
    <w:rsid w:val="2069540A"/>
    <w:rsid w:val="206C0290"/>
    <w:rsid w:val="206C3080"/>
    <w:rsid w:val="207B4AC3"/>
    <w:rsid w:val="207C669E"/>
    <w:rsid w:val="208C620B"/>
    <w:rsid w:val="20900EDD"/>
    <w:rsid w:val="20970A17"/>
    <w:rsid w:val="20981757"/>
    <w:rsid w:val="20A8066E"/>
    <w:rsid w:val="20B0053F"/>
    <w:rsid w:val="20B909A3"/>
    <w:rsid w:val="20CA445A"/>
    <w:rsid w:val="20CB7E47"/>
    <w:rsid w:val="20CE4B75"/>
    <w:rsid w:val="20DB78EE"/>
    <w:rsid w:val="20E64E0E"/>
    <w:rsid w:val="20F11320"/>
    <w:rsid w:val="21046F61"/>
    <w:rsid w:val="210B7DF4"/>
    <w:rsid w:val="21121DAC"/>
    <w:rsid w:val="211232E7"/>
    <w:rsid w:val="21250772"/>
    <w:rsid w:val="212754F9"/>
    <w:rsid w:val="2131531B"/>
    <w:rsid w:val="21395378"/>
    <w:rsid w:val="213A2238"/>
    <w:rsid w:val="213E2249"/>
    <w:rsid w:val="21547D6F"/>
    <w:rsid w:val="21600DA4"/>
    <w:rsid w:val="21612E1E"/>
    <w:rsid w:val="216157C7"/>
    <w:rsid w:val="2166648E"/>
    <w:rsid w:val="218A5E70"/>
    <w:rsid w:val="218C054E"/>
    <w:rsid w:val="218F4C8F"/>
    <w:rsid w:val="218F577E"/>
    <w:rsid w:val="2193517C"/>
    <w:rsid w:val="2195668B"/>
    <w:rsid w:val="219F3000"/>
    <w:rsid w:val="21B005D8"/>
    <w:rsid w:val="21BC5D7C"/>
    <w:rsid w:val="21D14669"/>
    <w:rsid w:val="21E91155"/>
    <w:rsid w:val="21E93ED9"/>
    <w:rsid w:val="21EF7AF1"/>
    <w:rsid w:val="21F97C8A"/>
    <w:rsid w:val="21FE757C"/>
    <w:rsid w:val="21FF705F"/>
    <w:rsid w:val="22011BAE"/>
    <w:rsid w:val="22087BCA"/>
    <w:rsid w:val="220B666E"/>
    <w:rsid w:val="22102D4C"/>
    <w:rsid w:val="22187BA1"/>
    <w:rsid w:val="221B564F"/>
    <w:rsid w:val="221F715F"/>
    <w:rsid w:val="22424478"/>
    <w:rsid w:val="22473FFD"/>
    <w:rsid w:val="22536BC3"/>
    <w:rsid w:val="22677FC8"/>
    <w:rsid w:val="226A298B"/>
    <w:rsid w:val="22783D9F"/>
    <w:rsid w:val="227A459D"/>
    <w:rsid w:val="228A6E9C"/>
    <w:rsid w:val="22902A98"/>
    <w:rsid w:val="229175A7"/>
    <w:rsid w:val="229E6DBD"/>
    <w:rsid w:val="22A056F3"/>
    <w:rsid w:val="22B16B3E"/>
    <w:rsid w:val="22B24B70"/>
    <w:rsid w:val="22C80D77"/>
    <w:rsid w:val="22D31A1D"/>
    <w:rsid w:val="22DC3DF8"/>
    <w:rsid w:val="22E11C7D"/>
    <w:rsid w:val="22EC02A4"/>
    <w:rsid w:val="22EE7F1A"/>
    <w:rsid w:val="22F14C5F"/>
    <w:rsid w:val="22F7081C"/>
    <w:rsid w:val="22F73CAE"/>
    <w:rsid w:val="22FD45DF"/>
    <w:rsid w:val="22FE124B"/>
    <w:rsid w:val="22FE4936"/>
    <w:rsid w:val="230F1F89"/>
    <w:rsid w:val="231D5390"/>
    <w:rsid w:val="23215691"/>
    <w:rsid w:val="23343AE2"/>
    <w:rsid w:val="234460C2"/>
    <w:rsid w:val="234823F6"/>
    <w:rsid w:val="2359151C"/>
    <w:rsid w:val="235D2824"/>
    <w:rsid w:val="235F0695"/>
    <w:rsid w:val="236504E6"/>
    <w:rsid w:val="2369250A"/>
    <w:rsid w:val="238455A7"/>
    <w:rsid w:val="23885FF1"/>
    <w:rsid w:val="239411CE"/>
    <w:rsid w:val="23A73F08"/>
    <w:rsid w:val="23AA1252"/>
    <w:rsid w:val="23AA6415"/>
    <w:rsid w:val="23AD02D7"/>
    <w:rsid w:val="23AD2875"/>
    <w:rsid w:val="23B64950"/>
    <w:rsid w:val="23B913A0"/>
    <w:rsid w:val="23B9222E"/>
    <w:rsid w:val="23BD065D"/>
    <w:rsid w:val="23C07654"/>
    <w:rsid w:val="23C228ED"/>
    <w:rsid w:val="23CC2A0E"/>
    <w:rsid w:val="23DC5DC2"/>
    <w:rsid w:val="23E43659"/>
    <w:rsid w:val="2404162F"/>
    <w:rsid w:val="24091838"/>
    <w:rsid w:val="240B6C12"/>
    <w:rsid w:val="24116F70"/>
    <w:rsid w:val="24122440"/>
    <w:rsid w:val="241B0329"/>
    <w:rsid w:val="241D66B4"/>
    <w:rsid w:val="24216A47"/>
    <w:rsid w:val="24262594"/>
    <w:rsid w:val="24362922"/>
    <w:rsid w:val="24383EF6"/>
    <w:rsid w:val="244B1780"/>
    <w:rsid w:val="24542A42"/>
    <w:rsid w:val="245708BE"/>
    <w:rsid w:val="245C52F8"/>
    <w:rsid w:val="246044F6"/>
    <w:rsid w:val="24605364"/>
    <w:rsid w:val="2462508F"/>
    <w:rsid w:val="2463385E"/>
    <w:rsid w:val="2463405F"/>
    <w:rsid w:val="2471111F"/>
    <w:rsid w:val="24754F0D"/>
    <w:rsid w:val="247871DC"/>
    <w:rsid w:val="2487528D"/>
    <w:rsid w:val="248A275A"/>
    <w:rsid w:val="248F0F76"/>
    <w:rsid w:val="249C229E"/>
    <w:rsid w:val="24B02699"/>
    <w:rsid w:val="24BF2B97"/>
    <w:rsid w:val="24C03310"/>
    <w:rsid w:val="24CC35A9"/>
    <w:rsid w:val="24E32FE3"/>
    <w:rsid w:val="24E9422C"/>
    <w:rsid w:val="24F74AFD"/>
    <w:rsid w:val="24F97ACF"/>
    <w:rsid w:val="25045D9F"/>
    <w:rsid w:val="250A2E95"/>
    <w:rsid w:val="250C7B9B"/>
    <w:rsid w:val="25134019"/>
    <w:rsid w:val="25134332"/>
    <w:rsid w:val="25334382"/>
    <w:rsid w:val="253925E0"/>
    <w:rsid w:val="253B74C1"/>
    <w:rsid w:val="254175D8"/>
    <w:rsid w:val="2545619D"/>
    <w:rsid w:val="254572C2"/>
    <w:rsid w:val="2545766D"/>
    <w:rsid w:val="254B5469"/>
    <w:rsid w:val="255413AD"/>
    <w:rsid w:val="25675E2C"/>
    <w:rsid w:val="25723C9E"/>
    <w:rsid w:val="2575713E"/>
    <w:rsid w:val="257E508F"/>
    <w:rsid w:val="25873FAF"/>
    <w:rsid w:val="25897D9A"/>
    <w:rsid w:val="25902233"/>
    <w:rsid w:val="259601A6"/>
    <w:rsid w:val="25A37229"/>
    <w:rsid w:val="25B64AEB"/>
    <w:rsid w:val="25C52394"/>
    <w:rsid w:val="25C5630B"/>
    <w:rsid w:val="25DE33E2"/>
    <w:rsid w:val="25E13E7F"/>
    <w:rsid w:val="25F30E46"/>
    <w:rsid w:val="2604401A"/>
    <w:rsid w:val="260947CD"/>
    <w:rsid w:val="260C09CF"/>
    <w:rsid w:val="26163DBF"/>
    <w:rsid w:val="262655B3"/>
    <w:rsid w:val="26421AF6"/>
    <w:rsid w:val="2650409E"/>
    <w:rsid w:val="2651285B"/>
    <w:rsid w:val="266049B7"/>
    <w:rsid w:val="26613D5D"/>
    <w:rsid w:val="26665FC3"/>
    <w:rsid w:val="266B5AD4"/>
    <w:rsid w:val="266D4AF8"/>
    <w:rsid w:val="266E3D4A"/>
    <w:rsid w:val="267D4820"/>
    <w:rsid w:val="267E391E"/>
    <w:rsid w:val="26825BE6"/>
    <w:rsid w:val="268705B2"/>
    <w:rsid w:val="26951599"/>
    <w:rsid w:val="26994B87"/>
    <w:rsid w:val="26AB1B2C"/>
    <w:rsid w:val="26C00239"/>
    <w:rsid w:val="26CB5888"/>
    <w:rsid w:val="26CF4B87"/>
    <w:rsid w:val="26D34B51"/>
    <w:rsid w:val="26E67F68"/>
    <w:rsid w:val="26ED0686"/>
    <w:rsid w:val="26EE5BC2"/>
    <w:rsid w:val="26FF603C"/>
    <w:rsid w:val="27016CB2"/>
    <w:rsid w:val="27045969"/>
    <w:rsid w:val="271B1A07"/>
    <w:rsid w:val="272C3104"/>
    <w:rsid w:val="272D0B92"/>
    <w:rsid w:val="273E4EBF"/>
    <w:rsid w:val="273F4984"/>
    <w:rsid w:val="274631E9"/>
    <w:rsid w:val="278114F6"/>
    <w:rsid w:val="27897D96"/>
    <w:rsid w:val="278C346D"/>
    <w:rsid w:val="278D5857"/>
    <w:rsid w:val="27915866"/>
    <w:rsid w:val="27917D88"/>
    <w:rsid w:val="279F775D"/>
    <w:rsid w:val="27AB7429"/>
    <w:rsid w:val="27AE7FB2"/>
    <w:rsid w:val="27B574D5"/>
    <w:rsid w:val="27BC4B74"/>
    <w:rsid w:val="27D6655B"/>
    <w:rsid w:val="27DD716D"/>
    <w:rsid w:val="27E228B1"/>
    <w:rsid w:val="27E51104"/>
    <w:rsid w:val="27ED4795"/>
    <w:rsid w:val="27EE4FED"/>
    <w:rsid w:val="27F271F8"/>
    <w:rsid w:val="27F3721D"/>
    <w:rsid w:val="280039C5"/>
    <w:rsid w:val="28070A8B"/>
    <w:rsid w:val="280F3A64"/>
    <w:rsid w:val="28142A97"/>
    <w:rsid w:val="281F4836"/>
    <w:rsid w:val="28200BF2"/>
    <w:rsid w:val="28305841"/>
    <w:rsid w:val="28310359"/>
    <w:rsid w:val="283B485D"/>
    <w:rsid w:val="28470540"/>
    <w:rsid w:val="28482A30"/>
    <w:rsid w:val="284E0F34"/>
    <w:rsid w:val="28511A8B"/>
    <w:rsid w:val="28561039"/>
    <w:rsid w:val="2856384F"/>
    <w:rsid w:val="285814AB"/>
    <w:rsid w:val="285A0641"/>
    <w:rsid w:val="285B3707"/>
    <w:rsid w:val="28665F6C"/>
    <w:rsid w:val="286F00D9"/>
    <w:rsid w:val="288161B5"/>
    <w:rsid w:val="28823389"/>
    <w:rsid w:val="28881BEB"/>
    <w:rsid w:val="289F2FB1"/>
    <w:rsid w:val="28A14CB5"/>
    <w:rsid w:val="28AE4A68"/>
    <w:rsid w:val="28B56F83"/>
    <w:rsid w:val="28B90EDE"/>
    <w:rsid w:val="28C21FAB"/>
    <w:rsid w:val="28C509D4"/>
    <w:rsid w:val="28CE0B77"/>
    <w:rsid w:val="28D73F0E"/>
    <w:rsid w:val="28E071C8"/>
    <w:rsid w:val="28E94B34"/>
    <w:rsid w:val="28F375FE"/>
    <w:rsid w:val="28F907E7"/>
    <w:rsid w:val="28F96B9E"/>
    <w:rsid w:val="291246E0"/>
    <w:rsid w:val="2913289F"/>
    <w:rsid w:val="29247C6F"/>
    <w:rsid w:val="292D3B52"/>
    <w:rsid w:val="29554F4C"/>
    <w:rsid w:val="29577E31"/>
    <w:rsid w:val="295E7340"/>
    <w:rsid w:val="2960050C"/>
    <w:rsid w:val="2960430A"/>
    <w:rsid w:val="29604B25"/>
    <w:rsid w:val="2968495B"/>
    <w:rsid w:val="29831E1A"/>
    <w:rsid w:val="29832163"/>
    <w:rsid w:val="2989540A"/>
    <w:rsid w:val="298A1905"/>
    <w:rsid w:val="298A583A"/>
    <w:rsid w:val="29911A4E"/>
    <w:rsid w:val="29947F45"/>
    <w:rsid w:val="299623A4"/>
    <w:rsid w:val="299A31BE"/>
    <w:rsid w:val="29B04661"/>
    <w:rsid w:val="29B72700"/>
    <w:rsid w:val="29B81D6B"/>
    <w:rsid w:val="29BD4FC2"/>
    <w:rsid w:val="29BF0638"/>
    <w:rsid w:val="29CA7734"/>
    <w:rsid w:val="29CC62FF"/>
    <w:rsid w:val="29CF4356"/>
    <w:rsid w:val="29D1686B"/>
    <w:rsid w:val="29D71790"/>
    <w:rsid w:val="29DD5B1F"/>
    <w:rsid w:val="29EC6113"/>
    <w:rsid w:val="29ED64B7"/>
    <w:rsid w:val="29F66C10"/>
    <w:rsid w:val="29F81B77"/>
    <w:rsid w:val="29F978F3"/>
    <w:rsid w:val="29FA2D98"/>
    <w:rsid w:val="29FA7F26"/>
    <w:rsid w:val="2A050EA3"/>
    <w:rsid w:val="2A05229A"/>
    <w:rsid w:val="2A0C5408"/>
    <w:rsid w:val="2A0C659D"/>
    <w:rsid w:val="2A182FFF"/>
    <w:rsid w:val="2A1A2592"/>
    <w:rsid w:val="2A277C8C"/>
    <w:rsid w:val="2A2E3397"/>
    <w:rsid w:val="2A364E19"/>
    <w:rsid w:val="2A3E234B"/>
    <w:rsid w:val="2A3F581B"/>
    <w:rsid w:val="2A426CE3"/>
    <w:rsid w:val="2A475451"/>
    <w:rsid w:val="2A484928"/>
    <w:rsid w:val="2A4B4E52"/>
    <w:rsid w:val="2A51367C"/>
    <w:rsid w:val="2A606048"/>
    <w:rsid w:val="2A6B4221"/>
    <w:rsid w:val="2A7F51C2"/>
    <w:rsid w:val="2A804A17"/>
    <w:rsid w:val="2A826215"/>
    <w:rsid w:val="2A8C1DAF"/>
    <w:rsid w:val="2A931DE3"/>
    <w:rsid w:val="2AB66710"/>
    <w:rsid w:val="2ABB6A8B"/>
    <w:rsid w:val="2AC163FB"/>
    <w:rsid w:val="2AC568CB"/>
    <w:rsid w:val="2ACC6F6B"/>
    <w:rsid w:val="2AD64EC8"/>
    <w:rsid w:val="2ADA0B4C"/>
    <w:rsid w:val="2AE01D1D"/>
    <w:rsid w:val="2AE26401"/>
    <w:rsid w:val="2AE85DC0"/>
    <w:rsid w:val="2AED5AA7"/>
    <w:rsid w:val="2AF40343"/>
    <w:rsid w:val="2AFF287F"/>
    <w:rsid w:val="2B0A2C51"/>
    <w:rsid w:val="2B156B5D"/>
    <w:rsid w:val="2B194373"/>
    <w:rsid w:val="2B1E7D1E"/>
    <w:rsid w:val="2B213B37"/>
    <w:rsid w:val="2B276E68"/>
    <w:rsid w:val="2B312C0C"/>
    <w:rsid w:val="2B3D0912"/>
    <w:rsid w:val="2B434F02"/>
    <w:rsid w:val="2B594C1F"/>
    <w:rsid w:val="2B6140FF"/>
    <w:rsid w:val="2B6C08E4"/>
    <w:rsid w:val="2B9462E0"/>
    <w:rsid w:val="2B946C72"/>
    <w:rsid w:val="2B983BEA"/>
    <w:rsid w:val="2B9E6DE4"/>
    <w:rsid w:val="2BA57FA9"/>
    <w:rsid w:val="2BBD10A8"/>
    <w:rsid w:val="2BCD2F32"/>
    <w:rsid w:val="2BD2651D"/>
    <w:rsid w:val="2BDA6EC5"/>
    <w:rsid w:val="2BDD0DBF"/>
    <w:rsid w:val="2BE037B0"/>
    <w:rsid w:val="2BF6073A"/>
    <w:rsid w:val="2C135BFE"/>
    <w:rsid w:val="2C16231C"/>
    <w:rsid w:val="2C2E25F9"/>
    <w:rsid w:val="2C46053C"/>
    <w:rsid w:val="2C482647"/>
    <w:rsid w:val="2C506A82"/>
    <w:rsid w:val="2C621CAD"/>
    <w:rsid w:val="2C696A96"/>
    <w:rsid w:val="2C811D9A"/>
    <w:rsid w:val="2C885C2E"/>
    <w:rsid w:val="2C8D3927"/>
    <w:rsid w:val="2C905BC3"/>
    <w:rsid w:val="2CAC1A2C"/>
    <w:rsid w:val="2CAE3912"/>
    <w:rsid w:val="2CAF706A"/>
    <w:rsid w:val="2CB02F37"/>
    <w:rsid w:val="2CB1645F"/>
    <w:rsid w:val="2CBA4F5D"/>
    <w:rsid w:val="2CC85087"/>
    <w:rsid w:val="2CD34937"/>
    <w:rsid w:val="2CE35E29"/>
    <w:rsid w:val="2CEC29E1"/>
    <w:rsid w:val="2CF1418A"/>
    <w:rsid w:val="2CF2614E"/>
    <w:rsid w:val="2CF355B0"/>
    <w:rsid w:val="2CF418F1"/>
    <w:rsid w:val="2CFB115B"/>
    <w:rsid w:val="2CFB16FE"/>
    <w:rsid w:val="2D07577A"/>
    <w:rsid w:val="2D230931"/>
    <w:rsid w:val="2D324CD9"/>
    <w:rsid w:val="2D330B4E"/>
    <w:rsid w:val="2D4216DA"/>
    <w:rsid w:val="2D50340C"/>
    <w:rsid w:val="2D6C26D4"/>
    <w:rsid w:val="2D7C7820"/>
    <w:rsid w:val="2D8850F7"/>
    <w:rsid w:val="2D896CAA"/>
    <w:rsid w:val="2D8B38E9"/>
    <w:rsid w:val="2D8E17BD"/>
    <w:rsid w:val="2D9574E2"/>
    <w:rsid w:val="2D99415F"/>
    <w:rsid w:val="2DC35D2B"/>
    <w:rsid w:val="2DCB6B9F"/>
    <w:rsid w:val="2DCD7112"/>
    <w:rsid w:val="2DD0372D"/>
    <w:rsid w:val="2DDA56C0"/>
    <w:rsid w:val="2DDB3A80"/>
    <w:rsid w:val="2DDF6C92"/>
    <w:rsid w:val="2DED0E1F"/>
    <w:rsid w:val="2DEE2607"/>
    <w:rsid w:val="2DF73EA4"/>
    <w:rsid w:val="2DFE4312"/>
    <w:rsid w:val="2DFE4897"/>
    <w:rsid w:val="2E1A2E0A"/>
    <w:rsid w:val="2E1C293D"/>
    <w:rsid w:val="2E2A0B63"/>
    <w:rsid w:val="2E2D490F"/>
    <w:rsid w:val="2E390D97"/>
    <w:rsid w:val="2E46058F"/>
    <w:rsid w:val="2E487B69"/>
    <w:rsid w:val="2E532345"/>
    <w:rsid w:val="2E5425BB"/>
    <w:rsid w:val="2E5E7EE5"/>
    <w:rsid w:val="2E5F4DFE"/>
    <w:rsid w:val="2E614B99"/>
    <w:rsid w:val="2E765524"/>
    <w:rsid w:val="2E7D6E1D"/>
    <w:rsid w:val="2E882355"/>
    <w:rsid w:val="2E936C04"/>
    <w:rsid w:val="2EA0582B"/>
    <w:rsid w:val="2EA243CF"/>
    <w:rsid w:val="2EB22F31"/>
    <w:rsid w:val="2EC52DF2"/>
    <w:rsid w:val="2ECF15F2"/>
    <w:rsid w:val="2F021F7A"/>
    <w:rsid w:val="2F045E86"/>
    <w:rsid w:val="2F0D20B7"/>
    <w:rsid w:val="2F1251F2"/>
    <w:rsid w:val="2F140A0E"/>
    <w:rsid w:val="2F1D1209"/>
    <w:rsid w:val="2F1F064C"/>
    <w:rsid w:val="2F232B38"/>
    <w:rsid w:val="2F235ACA"/>
    <w:rsid w:val="2F267DAD"/>
    <w:rsid w:val="2F2B25A9"/>
    <w:rsid w:val="2F3923BC"/>
    <w:rsid w:val="2F3C7A3B"/>
    <w:rsid w:val="2F3D7BA4"/>
    <w:rsid w:val="2F3F1EE8"/>
    <w:rsid w:val="2F4267C1"/>
    <w:rsid w:val="2F46238B"/>
    <w:rsid w:val="2F5A5C23"/>
    <w:rsid w:val="2F602A64"/>
    <w:rsid w:val="2F6411AF"/>
    <w:rsid w:val="2F662ACB"/>
    <w:rsid w:val="2F6A2695"/>
    <w:rsid w:val="2F7C4630"/>
    <w:rsid w:val="2F851831"/>
    <w:rsid w:val="2F8D3A9D"/>
    <w:rsid w:val="2F8E14A7"/>
    <w:rsid w:val="2F9000AA"/>
    <w:rsid w:val="2F9C385E"/>
    <w:rsid w:val="2FA16EF7"/>
    <w:rsid w:val="2FA54C34"/>
    <w:rsid w:val="2FAA550D"/>
    <w:rsid w:val="2FB73F6F"/>
    <w:rsid w:val="2FBD01C7"/>
    <w:rsid w:val="2FC136CD"/>
    <w:rsid w:val="2FC86B54"/>
    <w:rsid w:val="2FCA045A"/>
    <w:rsid w:val="2FCA1D7D"/>
    <w:rsid w:val="2FCD3425"/>
    <w:rsid w:val="2FD01AA5"/>
    <w:rsid w:val="2FDF30EF"/>
    <w:rsid w:val="2FDF5424"/>
    <w:rsid w:val="2FE07A38"/>
    <w:rsid w:val="2FE41AE3"/>
    <w:rsid w:val="2FE45CB1"/>
    <w:rsid w:val="2FE6576B"/>
    <w:rsid w:val="2FED3FEE"/>
    <w:rsid w:val="2FF729A2"/>
    <w:rsid w:val="2FF7722C"/>
    <w:rsid w:val="2FFE4DAA"/>
    <w:rsid w:val="30181123"/>
    <w:rsid w:val="301D6ED8"/>
    <w:rsid w:val="301E2953"/>
    <w:rsid w:val="30230812"/>
    <w:rsid w:val="30291EA6"/>
    <w:rsid w:val="302F54AE"/>
    <w:rsid w:val="30312864"/>
    <w:rsid w:val="30325A94"/>
    <w:rsid w:val="303374F7"/>
    <w:rsid w:val="303D481B"/>
    <w:rsid w:val="30493269"/>
    <w:rsid w:val="305555B5"/>
    <w:rsid w:val="305F4CB2"/>
    <w:rsid w:val="30613416"/>
    <w:rsid w:val="306A7544"/>
    <w:rsid w:val="306B0AD7"/>
    <w:rsid w:val="30767D45"/>
    <w:rsid w:val="307B59BB"/>
    <w:rsid w:val="308B18A1"/>
    <w:rsid w:val="30962F3E"/>
    <w:rsid w:val="30995DA5"/>
    <w:rsid w:val="30C65321"/>
    <w:rsid w:val="30C81B73"/>
    <w:rsid w:val="30CD29AB"/>
    <w:rsid w:val="30CD3F78"/>
    <w:rsid w:val="30D01A91"/>
    <w:rsid w:val="30D04C7A"/>
    <w:rsid w:val="30D17E68"/>
    <w:rsid w:val="30D33868"/>
    <w:rsid w:val="30EF09EA"/>
    <w:rsid w:val="30F54FB6"/>
    <w:rsid w:val="30F85D84"/>
    <w:rsid w:val="30FA432A"/>
    <w:rsid w:val="30FF2795"/>
    <w:rsid w:val="3103251C"/>
    <w:rsid w:val="3115129E"/>
    <w:rsid w:val="31196BFE"/>
    <w:rsid w:val="31214781"/>
    <w:rsid w:val="312C4F53"/>
    <w:rsid w:val="312D4849"/>
    <w:rsid w:val="313013DB"/>
    <w:rsid w:val="31342A6E"/>
    <w:rsid w:val="313509BB"/>
    <w:rsid w:val="31360F4A"/>
    <w:rsid w:val="31382351"/>
    <w:rsid w:val="313D282D"/>
    <w:rsid w:val="313D4388"/>
    <w:rsid w:val="313F31CA"/>
    <w:rsid w:val="314151C9"/>
    <w:rsid w:val="31534D75"/>
    <w:rsid w:val="316A1C48"/>
    <w:rsid w:val="316A60DC"/>
    <w:rsid w:val="31712070"/>
    <w:rsid w:val="31894CED"/>
    <w:rsid w:val="318E1A67"/>
    <w:rsid w:val="31944EC3"/>
    <w:rsid w:val="31A150D7"/>
    <w:rsid w:val="31A71ADA"/>
    <w:rsid w:val="31AC56C4"/>
    <w:rsid w:val="31AF53AD"/>
    <w:rsid w:val="31B06F8A"/>
    <w:rsid w:val="31BC31CC"/>
    <w:rsid w:val="31F065DA"/>
    <w:rsid w:val="31FB3AE9"/>
    <w:rsid w:val="31FC5C08"/>
    <w:rsid w:val="31FC770B"/>
    <w:rsid w:val="3210247E"/>
    <w:rsid w:val="321116E4"/>
    <w:rsid w:val="32137996"/>
    <w:rsid w:val="32163268"/>
    <w:rsid w:val="321B2B77"/>
    <w:rsid w:val="321C0C38"/>
    <w:rsid w:val="322504A1"/>
    <w:rsid w:val="32412204"/>
    <w:rsid w:val="32492952"/>
    <w:rsid w:val="325732ED"/>
    <w:rsid w:val="32585DC8"/>
    <w:rsid w:val="325D3AB4"/>
    <w:rsid w:val="32677ABB"/>
    <w:rsid w:val="32714C4D"/>
    <w:rsid w:val="32765646"/>
    <w:rsid w:val="32834CC4"/>
    <w:rsid w:val="32972E0F"/>
    <w:rsid w:val="329A6ACE"/>
    <w:rsid w:val="32A762AF"/>
    <w:rsid w:val="32C003AA"/>
    <w:rsid w:val="32CC1836"/>
    <w:rsid w:val="32D33F80"/>
    <w:rsid w:val="32DE74A5"/>
    <w:rsid w:val="32E039B2"/>
    <w:rsid w:val="32E72B9E"/>
    <w:rsid w:val="32E803BB"/>
    <w:rsid w:val="32F02C6F"/>
    <w:rsid w:val="32F33BF2"/>
    <w:rsid w:val="32F52EB3"/>
    <w:rsid w:val="32F63352"/>
    <w:rsid w:val="32F723A4"/>
    <w:rsid w:val="32FC7B58"/>
    <w:rsid w:val="32FD5801"/>
    <w:rsid w:val="32FD6DBE"/>
    <w:rsid w:val="330127BE"/>
    <w:rsid w:val="330213E2"/>
    <w:rsid w:val="330344EC"/>
    <w:rsid w:val="33054D0D"/>
    <w:rsid w:val="330C1C41"/>
    <w:rsid w:val="330D7136"/>
    <w:rsid w:val="330E6A24"/>
    <w:rsid w:val="33191907"/>
    <w:rsid w:val="331A0169"/>
    <w:rsid w:val="331B4967"/>
    <w:rsid w:val="331D3F1C"/>
    <w:rsid w:val="332166A0"/>
    <w:rsid w:val="334D7F3E"/>
    <w:rsid w:val="3351530B"/>
    <w:rsid w:val="33584A6A"/>
    <w:rsid w:val="335F6A8B"/>
    <w:rsid w:val="33615214"/>
    <w:rsid w:val="336832D5"/>
    <w:rsid w:val="337D29FE"/>
    <w:rsid w:val="3386457F"/>
    <w:rsid w:val="338F5C8B"/>
    <w:rsid w:val="33AB7844"/>
    <w:rsid w:val="33B52C99"/>
    <w:rsid w:val="33B66B20"/>
    <w:rsid w:val="33BC7AC2"/>
    <w:rsid w:val="33BC7C0E"/>
    <w:rsid w:val="33DE4B3D"/>
    <w:rsid w:val="33E267A7"/>
    <w:rsid w:val="33E5738C"/>
    <w:rsid w:val="33EB6292"/>
    <w:rsid w:val="33F0082C"/>
    <w:rsid w:val="340577C0"/>
    <w:rsid w:val="34157D53"/>
    <w:rsid w:val="342447AB"/>
    <w:rsid w:val="343543DA"/>
    <w:rsid w:val="34366C21"/>
    <w:rsid w:val="34393F41"/>
    <w:rsid w:val="343B4536"/>
    <w:rsid w:val="343D7741"/>
    <w:rsid w:val="34414934"/>
    <w:rsid w:val="344F616E"/>
    <w:rsid w:val="34682A27"/>
    <w:rsid w:val="346C5D81"/>
    <w:rsid w:val="346E7E9E"/>
    <w:rsid w:val="34711BC9"/>
    <w:rsid w:val="34715393"/>
    <w:rsid w:val="34765814"/>
    <w:rsid w:val="34824AE6"/>
    <w:rsid w:val="348A5364"/>
    <w:rsid w:val="348C1191"/>
    <w:rsid w:val="348E24AF"/>
    <w:rsid w:val="34930387"/>
    <w:rsid w:val="34995E5A"/>
    <w:rsid w:val="34A06F2B"/>
    <w:rsid w:val="34B2727F"/>
    <w:rsid w:val="34C43A47"/>
    <w:rsid w:val="34CB1F36"/>
    <w:rsid w:val="34D81B99"/>
    <w:rsid w:val="34E74614"/>
    <w:rsid w:val="34F14C9D"/>
    <w:rsid w:val="34F41640"/>
    <w:rsid w:val="34FA47CE"/>
    <w:rsid w:val="350075FB"/>
    <w:rsid w:val="35046B8E"/>
    <w:rsid w:val="3521011B"/>
    <w:rsid w:val="35234A79"/>
    <w:rsid w:val="35256F3A"/>
    <w:rsid w:val="35260BC8"/>
    <w:rsid w:val="352C318B"/>
    <w:rsid w:val="35374553"/>
    <w:rsid w:val="353B32F0"/>
    <w:rsid w:val="355172D1"/>
    <w:rsid w:val="35537ED4"/>
    <w:rsid w:val="3570634E"/>
    <w:rsid w:val="35796A76"/>
    <w:rsid w:val="357A2D2A"/>
    <w:rsid w:val="357E4F21"/>
    <w:rsid w:val="35860807"/>
    <w:rsid w:val="358B2A73"/>
    <w:rsid w:val="359D343D"/>
    <w:rsid w:val="35BD6929"/>
    <w:rsid w:val="35C64827"/>
    <w:rsid w:val="35D22641"/>
    <w:rsid w:val="35D234E7"/>
    <w:rsid w:val="35D5734A"/>
    <w:rsid w:val="35D83BBE"/>
    <w:rsid w:val="35E106FD"/>
    <w:rsid w:val="35E373E4"/>
    <w:rsid w:val="35E569C8"/>
    <w:rsid w:val="35F11410"/>
    <w:rsid w:val="35F5133C"/>
    <w:rsid w:val="35FD378C"/>
    <w:rsid w:val="3603786D"/>
    <w:rsid w:val="36077C33"/>
    <w:rsid w:val="360B1D73"/>
    <w:rsid w:val="360C7221"/>
    <w:rsid w:val="361F3323"/>
    <w:rsid w:val="362702C6"/>
    <w:rsid w:val="3628114A"/>
    <w:rsid w:val="36297392"/>
    <w:rsid w:val="363106E3"/>
    <w:rsid w:val="36323A44"/>
    <w:rsid w:val="364206AA"/>
    <w:rsid w:val="364A5346"/>
    <w:rsid w:val="364A6F2C"/>
    <w:rsid w:val="364B6C24"/>
    <w:rsid w:val="364C4B1A"/>
    <w:rsid w:val="364F4F8E"/>
    <w:rsid w:val="3650412A"/>
    <w:rsid w:val="3651095A"/>
    <w:rsid w:val="365625CA"/>
    <w:rsid w:val="36575A6A"/>
    <w:rsid w:val="36596ED9"/>
    <w:rsid w:val="3663099B"/>
    <w:rsid w:val="36662AC4"/>
    <w:rsid w:val="366B06F0"/>
    <w:rsid w:val="36704727"/>
    <w:rsid w:val="36717010"/>
    <w:rsid w:val="3675558D"/>
    <w:rsid w:val="36821D11"/>
    <w:rsid w:val="368A62E8"/>
    <w:rsid w:val="36981A25"/>
    <w:rsid w:val="369B7FEC"/>
    <w:rsid w:val="369E4CBA"/>
    <w:rsid w:val="36A30BDA"/>
    <w:rsid w:val="36AD56D3"/>
    <w:rsid w:val="36AF5475"/>
    <w:rsid w:val="36B712AB"/>
    <w:rsid w:val="36C00DD5"/>
    <w:rsid w:val="36D123AB"/>
    <w:rsid w:val="36D92B2C"/>
    <w:rsid w:val="36E1740A"/>
    <w:rsid w:val="36E93760"/>
    <w:rsid w:val="36EC403F"/>
    <w:rsid w:val="36F56F7C"/>
    <w:rsid w:val="36F62CDF"/>
    <w:rsid w:val="370214E4"/>
    <w:rsid w:val="370B2B97"/>
    <w:rsid w:val="370C7B9A"/>
    <w:rsid w:val="37156264"/>
    <w:rsid w:val="371A176B"/>
    <w:rsid w:val="371E4E79"/>
    <w:rsid w:val="371E754F"/>
    <w:rsid w:val="37225595"/>
    <w:rsid w:val="37282C26"/>
    <w:rsid w:val="37307239"/>
    <w:rsid w:val="373322E6"/>
    <w:rsid w:val="3738298C"/>
    <w:rsid w:val="373B240A"/>
    <w:rsid w:val="37466A57"/>
    <w:rsid w:val="375C3F54"/>
    <w:rsid w:val="37675272"/>
    <w:rsid w:val="377401EF"/>
    <w:rsid w:val="377D4524"/>
    <w:rsid w:val="377D6547"/>
    <w:rsid w:val="3784394E"/>
    <w:rsid w:val="3789305F"/>
    <w:rsid w:val="37905DD5"/>
    <w:rsid w:val="379A30F2"/>
    <w:rsid w:val="379C15A6"/>
    <w:rsid w:val="37AB44DC"/>
    <w:rsid w:val="37BC47EC"/>
    <w:rsid w:val="37BD32CA"/>
    <w:rsid w:val="37C84A89"/>
    <w:rsid w:val="37CB705C"/>
    <w:rsid w:val="37E223B3"/>
    <w:rsid w:val="37E5592A"/>
    <w:rsid w:val="37FC1FBC"/>
    <w:rsid w:val="37FD2544"/>
    <w:rsid w:val="37FD350A"/>
    <w:rsid w:val="37FE1DF6"/>
    <w:rsid w:val="380F5972"/>
    <w:rsid w:val="3812377C"/>
    <w:rsid w:val="38181A04"/>
    <w:rsid w:val="3819609A"/>
    <w:rsid w:val="381C4D57"/>
    <w:rsid w:val="382F365E"/>
    <w:rsid w:val="383A28C5"/>
    <w:rsid w:val="38482D99"/>
    <w:rsid w:val="38485792"/>
    <w:rsid w:val="386A2EAF"/>
    <w:rsid w:val="3882002F"/>
    <w:rsid w:val="38862B72"/>
    <w:rsid w:val="388C3E37"/>
    <w:rsid w:val="388F5877"/>
    <w:rsid w:val="3898385B"/>
    <w:rsid w:val="389B6668"/>
    <w:rsid w:val="38A81018"/>
    <w:rsid w:val="38AE3BB0"/>
    <w:rsid w:val="38B0447B"/>
    <w:rsid w:val="38CB7304"/>
    <w:rsid w:val="38D27BF0"/>
    <w:rsid w:val="38DB07E6"/>
    <w:rsid w:val="38DF3FBD"/>
    <w:rsid w:val="38E334EE"/>
    <w:rsid w:val="38E62E91"/>
    <w:rsid w:val="38EA2FCE"/>
    <w:rsid w:val="38F40571"/>
    <w:rsid w:val="38FA2D55"/>
    <w:rsid w:val="38FE704D"/>
    <w:rsid w:val="39001C4F"/>
    <w:rsid w:val="39021D7C"/>
    <w:rsid w:val="39076D83"/>
    <w:rsid w:val="390B436D"/>
    <w:rsid w:val="391136F1"/>
    <w:rsid w:val="39154A23"/>
    <w:rsid w:val="39172DB0"/>
    <w:rsid w:val="39277EDD"/>
    <w:rsid w:val="393E07E6"/>
    <w:rsid w:val="39463B90"/>
    <w:rsid w:val="39476289"/>
    <w:rsid w:val="394A0A58"/>
    <w:rsid w:val="394A0C85"/>
    <w:rsid w:val="39504F6E"/>
    <w:rsid w:val="39542C07"/>
    <w:rsid w:val="397A5705"/>
    <w:rsid w:val="39A303E2"/>
    <w:rsid w:val="39A734D3"/>
    <w:rsid w:val="39AF76E9"/>
    <w:rsid w:val="39C43138"/>
    <w:rsid w:val="39CA093A"/>
    <w:rsid w:val="39CF2566"/>
    <w:rsid w:val="39DE3883"/>
    <w:rsid w:val="39EA5D43"/>
    <w:rsid w:val="39EF5D37"/>
    <w:rsid w:val="3A001052"/>
    <w:rsid w:val="3A0D5C2D"/>
    <w:rsid w:val="3A2C6049"/>
    <w:rsid w:val="3A360CBF"/>
    <w:rsid w:val="3A6349EF"/>
    <w:rsid w:val="3A636EF9"/>
    <w:rsid w:val="3A71595F"/>
    <w:rsid w:val="3A966858"/>
    <w:rsid w:val="3A994FD0"/>
    <w:rsid w:val="3A9C14D1"/>
    <w:rsid w:val="3ABC4959"/>
    <w:rsid w:val="3AC00072"/>
    <w:rsid w:val="3AC57524"/>
    <w:rsid w:val="3ACB5746"/>
    <w:rsid w:val="3ADC5E8D"/>
    <w:rsid w:val="3AE34B1C"/>
    <w:rsid w:val="3AEC1760"/>
    <w:rsid w:val="3AEC47B3"/>
    <w:rsid w:val="3AFD187A"/>
    <w:rsid w:val="3B1141B0"/>
    <w:rsid w:val="3B1E4195"/>
    <w:rsid w:val="3B202E46"/>
    <w:rsid w:val="3B206763"/>
    <w:rsid w:val="3B2D14FF"/>
    <w:rsid w:val="3B327F26"/>
    <w:rsid w:val="3B3523F1"/>
    <w:rsid w:val="3B391A2B"/>
    <w:rsid w:val="3B4F610A"/>
    <w:rsid w:val="3B5D2018"/>
    <w:rsid w:val="3B64486B"/>
    <w:rsid w:val="3B7D686E"/>
    <w:rsid w:val="3B7E7D2D"/>
    <w:rsid w:val="3B8461AE"/>
    <w:rsid w:val="3B865AD0"/>
    <w:rsid w:val="3B8F37A0"/>
    <w:rsid w:val="3B951F5B"/>
    <w:rsid w:val="3BA1618D"/>
    <w:rsid w:val="3BAD5F98"/>
    <w:rsid w:val="3BB20883"/>
    <w:rsid w:val="3BBA198C"/>
    <w:rsid w:val="3BBB6CDC"/>
    <w:rsid w:val="3BD22315"/>
    <w:rsid w:val="3BDA5E2E"/>
    <w:rsid w:val="3BE9576B"/>
    <w:rsid w:val="3BF15267"/>
    <w:rsid w:val="3BF803E5"/>
    <w:rsid w:val="3BFA28EF"/>
    <w:rsid w:val="3C0A7F07"/>
    <w:rsid w:val="3C0C4BB9"/>
    <w:rsid w:val="3C1009CA"/>
    <w:rsid w:val="3C1735AA"/>
    <w:rsid w:val="3C21272B"/>
    <w:rsid w:val="3C226E3E"/>
    <w:rsid w:val="3C25044C"/>
    <w:rsid w:val="3C2829A1"/>
    <w:rsid w:val="3C34480C"/>
    <w:rsid w:val="3C352A0E"/>
    <w:rsid w:val="3C357816"/>
    <w:rsid w:val="3C3B7F8A"/>
    <w:rsid w:val="3C420E1A"/>
    <w:rsid w:val="3C493227"/>
    <w:rsid w:val="3C4A60C9"/>
    <w:rsid w:val="3C520710"/>
    <w:rsid w:val="3C58526F"/>
    <w:rsid w:val="3C595872"/>
    <w:rsid w:val="3C610FFB"/>
    <w:rsid w:val="3C6724A7"/>
    <w:rsid w:val="3C6A0993"/>
    <w:rsid w:val="3C701D20"/>
    <w:rsid w:val="3C8670EF"/>
    <w:rsid w:val="3C8B4F8A"/>
    <w:rsid w:val="3C8D34D7"/>
    <w:rsid w:val="3C927237"/>
    <w:rsid w:val="3C963E3B"/>
    <w:rsid w:val="3C9A4065"/>
    <w:rsid w:val="3CA2592C"/>
    <w:rsid w:val="3CB54C87"/>
    <w:rsid w:val="3CBC1C94"/>
    <w:rsid w:val="3CC171EE"/>
    <w:rsid w:val="3CCB40DD"/>
    <w:rsid w:val="3CCB5C82"/>
    <w:rsid w:val="3CCE24AC"/>
    <w:rsid w:val="3CD131AE"/>
    <w:rsid w:val="3CDD4BB2"/>
    <w:rsid w:val="3CE17514"/>
    <w:rsid w:val="3CE73200"/>
    <w:rsid w:val="3CEE67D3"/>
    <w:rsid w:val="3CF1059F"/>
    <w:rsid w:val="3CF2344D"/>
    <w:rsid w:val="3D05157D"/>
    <w:rsid w:val="3D087F13"/>
    <w:rsid w:val="3D0902E8"/>
    <w:rsid w:val="3D0C2109"/>
    <w:rsid w:val="3D154F2E"/>
    <w:rsid w:val="3D196271"/>
    <w:rsid w:val="3D1A5E9A"/>
    <w:rsid w:val="3D2D23EC"/>
    <w:rsid w:val="3D2D4D24"/>
    <w:rsid w:val="3D344045"/>
    <w:rsid w:val="3D35677B"/>
    <w:rsid w:val="3D6521E3"/>
    <w:rsid w:val="3D6804C2"/>
    <w:rsid w:val="3D694C3F"/>
    <w:rsid w:val="3D7754F8"/>
    <w:rsid w:val="3D7E701C"/>
    <w:rsid w:val="3D932119"/>
    <w:rsid w:val="3D96372D"/>
    <w:rsid w:val="3D9662A3"/>
    <w:rsid w:val="3DA32BD7"/>
    <w:rsid w:val="3DA775FC"/>
    <w:rsid w:val="3DB21790"/>
    <w:rsid w:val="3DB5100A"/>
    <w:rsid w:val="3DBC2541"/>
    <w:rsid w:val="3DC10801"/>
    <w:rsid w:val="3DD911D7"/>
    <w:rsid w:val="3DE226B1"/>
    <w:rsid w:val="3DED6FB7"/>
    <w:rsid w:val="3DEE286D"/>
    <w:rsid w:val="3DF02F1D"/>
    <w:rsid w:val="3DF233CE"/>
    <w:rsid w:val="3DFF53C6"/>
    <w:rsid w:val="3E045072"/>
    <w:rsid w:val="3E046B73"/>
    <w:rsid w:val="3E1554AF"/>
    <w:rsid w:val="3E176B5C"/>
    <w:rsid w:val="3E191CDC"/>
    <w:rsid w:val="3E1D6EAA"/>
    <w:rsid w:val="3E292334"/>
    <w:rsid w:val="3E2C0A53"/>
    <w:rsid w:val="3E2D0869"/>
    <w:rsid w:val="3E314333"/>
    <w:rsid w:val="3E441C7D"/>
    <w:rsid w:val="3E4F1184"/>
    <w:rsid w:val="3E544749"/>
    <w:rsid w:val="3E5A271E"/>
    <w:rsid w:val="3E6315F8"/>
    <w:rsid w:val="3E673E99"/>
    <w:rsid w:val="3E753EC4"/>
    <w:rsid w:val="3E7A75D7"/>
    <w:rsid w:val="3E7B31A3"/>
    <w:rsid w:val="3E7C5860"/>
    <w:rsid w:val="3E7E7D96"/>
    <w:rsid w:val="3E7F2A2D"/>
    <w:rsid w:val="3E82252F"/>
    <w:rsid w:val="3E881967"/>
    <w:rsid w:val="3E8C51C6"/>
    <w:rsid w:val="3E9E34E6"/>
    <w:rsid w:val="3EA95863"/>
    <w:rsid w:val="3EA95D5B"/>
    <w:rsid w:val="3EAC7D90"/>
    <w:rsid w:val="3EB46297"/>
    <w:rsid w:val="3EB707D7"/>
    <w:rsid w:val="3EBD190D"/>
    <w:rsid w:val="3EC50EB5"/>
    <w:rsid w:val="3ECB0539"/>
    <w:rsid w:val="3ED31176"/>
    <w:rsid w:val="3EE03B0F"/>
    <w:rsid w:val="3EE03EAF"/>
    <w:rsid w:val="3EE34A7C"/>
    <w:rsid w:val="3EE52BA6"/>
    <w:rsid w:val="3EE90EB0"/>
    <w:rsid w:val="3EED6F2D"/>
    <w:rsid w:val="3EFF5CB1"/>
    <w:rsid w:val="3F05795C"/>
    <w:rsid w:val="3F0E5A97"/>
    <w:rsid w:val="3F146832"/>
    <w:rsid w:val="3F180271"/>
    <w:rsid w:val="3F190C4E"/>
    <w:rsid w:val="3F2F3B05"/>
    <w:rsid w:val="3F3B3EBE"/>
    <w:rsid w:val="3F503893"/>
    <w:rsid w:val="3F5F3E80"/>
    <w:rsid w:val="3F6136ED"/>
    <w:rsid w:val="3F714867"/>
    <w:rsid w:val="3F7F71A9"/>
    <w:rsid w:val="3F8928E7"/>
    <w:rsid w:val="3F8A2687"/>
    <w:rsid w:val="3F922474"/>
    <w:rsid w:val="3F9A517F"/>
    <w:rsid w:val="3F9A7173"/>
    <w:rsid w:val="3FA85F2E"/>
    <w:rsid w:val="3FB06A59"/>
    <w:rsid w:val="3FB733C5"/>
    <w:rsid w:val="3FC8560A"/>
    <w:rsid w:val="3FC956FF"/>
    <w:rsid w:val="3FD13829"/>
    <w:rsid w:val="3FD16EDE"/>
    <w:rsid w:val="3FD8579C"/>
    <w:rsid w:val="3FD85FB7"/>
    <w:rsid w:val="3FD9761E"/>
    <w:rsid w:val="3FDC13EB"/>
    <w:rsid w:val="3FDC4E74"/>
    <w:rsid w:val="3FDC5C15"/>
    <w:rsid w:val="3FEA36B8"/>
    <w:rsid w:val="3FEE17C5"/>
    <w:rsid w:val="3FFC2BF6"/>
    <w:rsid w:val="403202EF"/>
    <w:rsid w:val="4034367C"/>
    <w:rsid w:val="40415E1C"/>
    <w:rsid w:val="404443D3"/>
    <w:rsid w:val="404A35C1"/>
    <w:rsid w:val="40564F0E"/>
    <w:rsid w:val="40606AC4"/>
    <w:rsid w:val="406707A4"/>
    <w:rsid w:val="407430B2"/>
    <w:rsid w:val="40864F15"/>
    <w:rsid w:val="409411FC"/>
    <w:rsid w:val="409C584E"/>
    <w:rsid w:val="40A26560"/>
    <w:rsid w:val="40A424AE"/>
    <w:rsid w:val="40AD454D"/>
    <w:rsid w:val="40B03146"/>
    <w:rsid w:val="40B146F7"/>
    <w:rsid w:val="40B157A6"/>
    <w:rsid w:val="40C53226"/>
    <w:rsid w:val="40C75240"/>
    <w:rsid w:val="40C8018B"/>
    <w:rsid w:val="40C90CC7"/>
    <w:rsid w:val="40D1708D"/>
    <w:rsid w:val="40D6165A"/>
    <w:rsid w:val="40D86880"/>
    <w:rsid w:val="40DA587B"/>
    <w:rsid w:val="40DE1E50"/>
    <w:rsid w:val="40EC1E9E"/>
    <w:rsid w:val="40F32201"/>
    <w:rsid w:val="40FA4CF6"/>
    <w:rsid w:val="40FA7C99"/>
    <w:rsid w:val="41052108"/>
    <w:rsid w:val="410B2E91"/>
    <w:rsid w:val="4114514C"/>
    <w:rsid w:val="411B4827"/>
    <w:rsid w:val="41333E87"/>
    <w:rsid w:val="414F0015"/>
    <w:rsid w:val="41563AA7"/>
    <w:rsid w:val="41607CD9"/>
    <w:rsid w:val="41627FBE"/>
    <w:rsid w:val="41730B35"/>
    <w:rsid w:val="41840136"/>
    <w:rsid w:val="41872E2B"/>
    <w:rsid w:val="41882227"/>
    <w:rsid w:val="41883437"/>
    <w:rsid w:val="41893D1D"/>
    <w:rsid w:val="418E5310"/>
    <w:rsid w:val="4198488B"/>
    <w:rsid w:val="419D183B"/>
    <w:rsid w:val="41B26ED3"/>
    <w:rsid w:val="41B44699"/>
    <w:rsid w:val="41BF27D5"/>
    <w:rsid w:val="41BF70B5"/>
    <w:rsid w:val="41CD2626"/>
    <w:rsid w:val="41CF10DB"/>
    <w:rsid w:val="41D50985"/>
    <w:rsid w:val="41DC2FA5"/>
    <w:rsid w:val="41E41D4E"/>
    <w:rsid w:val="41E443DE"/>
    <w:rsid w:val="41F25424"/>
    <w:rsid w:val="41F466FD"/>
    <w:rsid w:val="4200039A"/>
    <w:rsid w:val="420B6CA8"/>
    <w:rsid w:val="422158E5"/>
    <w:rsid w:val="42336286"/>
    <w:rsid w:val="424A26DA"/>
    <w:rsid w:val="424B1529"/>
    <w:rsid w:val="424C6845"/>
    <w:rsid w:val="424F6E3F"/>
    <w:rsid w:val="42533B7D"/>
    <w:rsid w:val="42542CD8"/>
    <w:rsid w:val="425744F9"/>
    <w:rsid w:val="42620EC9"/>
    <w:rsid w:val="426A1FEC"/>
    <w:rsid w:val="426C3B95"/>
    <w:rsid w:val="4274627A"/>
    <w:rsid w:val="42762DC0"/>
    <w:rsid w:val="4279626B"/>
    <w:rsid w:val="42802B19"/>
    <w:rsid w:val="4285679C"/>
    <w:rsid w:val="42866DCB"/>
    <w:rsid w:val="42896B95"/>
    <w:rsid w:val="428B0BBC"/>
    <w:rsid w:val="429E42B6"/>
    <w:rsid w:val="42A67A24"/>
    <w:rsid w:val="42AC7816"/>
    <w:rsid w:val="42B12DB0"/>
    <w:rsid w:val="42B34B80"/>
    <w:rsid w:val="42B43A4B"/>
    <w:rsid w:val="42B56347"/>
    <w:rsid w:val="42BB5BD8"/>
    <w:rsid w:val="42BC3E74"/>
    <w:rsid w:val="42C345BC"/>
    <w:rsid w:val="42C923A0"/>
    <w:rsid w:val="42D14B1E"/>
    <w:rsid w:val="42DC29D6"/>
    <w:rsid w:val="42EE11A2"/>
    <w:rsid w:val="42F115C5"/>
    <w:rsid w:val="42F119B4"/>
    <w:rsid w:val="42FE608E"/>
    <w:rsid w:val="4302798C"/>
    <w:rsid w:val="430A1DB4"/>
    <w:rsid w:val="430B450E"/>
    <w:rsid w:val="43167709"/>
    <w:rsid w:val="4319069F"/>
    <w:rsid w:val="432854DB"/>
    <w:rsid w:val="43314B39"/>
    <w:rsid w:val="43345406"/>
    <w:rsid w:val="43387B68"/>
    <w:rsid w:val="433B6791"/>
    <w:rsid w:val="433C1E2E"/>
    <w:rsid w:val="43403957"/>
    <w:rsid w:val="43427D6F"/>
    <w:rsid w:val="434639C8"/>
    <w:rsid w:val="434928E1"/>
    <w:rsid w:val="434C6E34"/>
    <w:rsid w:val="434E4A05"/>
    <w:rsid w:val="43502CF5"/>
    <w:rsid w:val="435B5839"/>
    <w:rsid w:val="436D2EF7"/>
    <w:rsid w:val="436D493A"/>
    <w:rsid w:val="4373249B"/>
    <w:rsid w:val="43756A87"/>
    <w:rsid w:val="4377715E"/>
    <w:rsid w:val="43792C32"/>
    <w:rsid w:val="43795AEC"/>
    <w:rsid w:val="437F241B"/>
    <w:rsid w:val="437F73CB"/>
    <w:rsid w:val="43815320"/>
    <w:rsid w:val="43867519"/>
    <w:rsid w:val="438E2016"/>
    <w:rsid w:val="438F08A6"/>
    <w:rsid w:val="438F3116"/>
    <w:rsid w:val="4392719B"/>
    <w:rsid w:val="43996DB3"/>
    <w:rsid w:val="439F2D95"/>
    <w:rsid w:val="43A327AA"/>
    <w:rsid w:val="43B14587"/>
    <w:rsid w:val="43B42EF2"/>
    <w:rsid w:val="43BD6B33"/>
    <w:rsid w:val="43BF4B01"/>
    <w:rsid w:val="43C111B2"/>
    <w:rsid w:val="43CA3C12"/>
    <w:rsid w:val="43D16802"/>
    <w:rsid w:val="43D17BD1"/>
    <w:rsid w:val="43E36381"/>
    <w:rsid w:val="43EF6413"/>
    <w:rsid w:val="43F60CF7"/>
    <w:rsid w:val="43F65938"/>
    <w:rsid w:val="43FA30CF"/>
    <w:rsid w:val="440D5045"/>
    <w:rsid w:val="44104438"/>
    <w:rsid w:val="441E2529"/>
    <w:rsid w:val="442346C6"/>
    <w:rsid w:val="442636BD"/>
    <w:rsid w:val="443937C9"/>
    <w:rsid w:val="443A410F"/>
    <w:rsid w:val="443C6FCF"/>
    <w:rsid w:val="444D25F4"/>
    <w:rsid w:val="444E3F9C"/>
    <w:rsid w:val="44516367"/>
    <w:rsid w:val="44540B9E"/>
    <w:rsid w:val="44574EC6"/>
    <w:rsid w:val="445F2EF4"/>
    <w:rsid w:val="44621342"/>
    <w:rsid w:val="44750E26"/>
    <w:rsid w:val="447566BC"/>
    <w:rsid w:val="447C5088"/>
    <w:rsid w:val="448F4F55"/>
    <w:rsid w:val="44A57012"/>
    <w:rsid w:val="44AB09B8"/>
    <w:rsid w:val="44B4119E"/>
    <w:rsid w:val="44BA50EB"/>
    <w:rsid w:val="44C877B0"/>
    <w:rsid w:val="44CB4958"/>
    <w:rsid w:val="44CF05FC"/>
    <w:rsid w:val="44D30A82"/>
    <w:rsid w:val="44D36182"/>
    <w:rsid w:val="44DF213A"/>
    <w:rsid w:val="44E80E21"/>
    <w:rsid w:val="44E819F7"/>
    <w:rsid w:val="44F247D9"/>
    <w:rsid w:val="44F42CE4"/>
    <w:rsid w:val="44F94FC2"/>
    <w:rsid w:val="44FC5B6C"/>
    <w:rsid w:val="44FE0AD8"/>
    <w:rsid w:val="45017D3A"/>
    <w:rsid w:val="45055922"/>
    <w:rsid w:val="450B3084"/>
    <w:rsid w:val="45140022"/>
    <w:rsid w:val="45160D7D"/>
    <w:rsid w:val="451756C6"/>
    <w:rsid w:val="451C2FD3"/>
    <w:rsid w:val="451E7709"/>
    <w:rsid w:val="451F0903"/>
    <w:rsid w:val="452C3E53"/>
    <w:rsid w:val="453B1B3D"/>
    <w:rsid w:val="45441829"/>
    <w:rsid w:val="45452B0D"/>
    <w:rsid w:val="454C3B7C"/>
    <w:rsid w:val="454C5071"/>
    <w:rsid w:val="45751089"/>
    <w:rsid w:val="457F2775"/>
    <w:rsid w:val="45814200"/>
    <w:rsid w:val="45856705"/>
    <w:rsid w:val="45865F6D"/>
    <w:rsid w:val="45917ADC"/>
    <w:rsid w:val="459413C0"/>
    <w:rsid w:val="459915CF"/>
    <w:rsid w:val="45A041E4"/>
    <w:rsid w:val="45A058CA"/>
    <w:rsid w:val="45A24CBB"/>
    <w:rsid w:val="45A831BB"/>
    <w:rsid w:val="45AB29BA"/>
    <w:rsid w:val="45AF45ED"/>
    <w:rsid w:val="45B15B53"/>
    <w:rsid w:val="45B24826"/>
    <w:rsid w:val="45B44E94"/>
    <w:rsid w:val="45BE6191"/>
    <w:rsid w:val="45C022A2"/>
    <w:rsid w:val="45D84AE6"/>
    <w:rsid w:val="45D938BB"/>
    <w:rsid w:val="45DF4AAF"/>
    <w:rsid w:val="45EC4F98"/>
    <w:rsid w:val="45F10135"/>
    <w:rsid w:val="45F70541"/>
    <w:rsid w:val="460C5979"/>
    <w:rsid w:val="46292E40"/>
    <w:rsid w:val="462A16C0"/>
    <w:rsid w:val="462C23C7"/>
    <w:rsid w:val="46363020"/>
    <w:rsid w:val="4649664F"/>
    <w:rsid w:val="464E5E65"/>
    <w:rsid w:val="46540AB6"/>
    <w:rsid w:val="4659462F"/>
    <w:rsid w:val="466017BE"/>
    <w:rsid w:val="466C4770"/>
    <w:rsid w:val="466E615D"/>
    <w:rsid w:val="468160C8"/>
    <w:rsid w:val="46851341"/>
    <w:rsid w:val="46853FDC"/>
    <w:rsid w:val="468F108A"/>
    <w:rsid w:val="46A42909"/>
    <w:rsid w:val="46BE3CB4"/>
    <w:rsid w:val="46BF73B8"/>
    <w:rsid w:val="46D5081C"/>
    <w:rsid w:val="46D951AD"/>
    <w:rsid w:val="46DB4695"/>
    <w:rsid w:val="46E32275"/>
    <w:rsid w:val="46E74A11"/>
    <w:rsid w:val="46FB54F2"/>
    <w:rsid w:val="46FB6957"/>
    <w:rsid w:val="47022D30"/>
    <w:rsid w:val="470856D5"/>
    <w:rsid w:val="471310A5"/>
    <w:rsid w:val="47135BB7"/>
    <w:rsid w:val="47275CD0"/>
    <w:rsid w:val="47317207"/>
    <w:rsid w:val="4732097B"/>
    <w:rsid w:val="47370B7F"/>
    <w:rsid w:val="473C7BFD"/>
    <w:rsid w:val="47476767"/>
    <w:rsid w:val="474C45B3"/>
    <w:rsid w:val="47513B22"/>
    <w:rsid w:val="475B047D"/>
    <w:rsid w:val="47637FEB"/>
    <w:rsid w:val="47652489"/>
    <w:rsid w:val="477178BB"/>
    <w:rsid w:val="477C27EB"/>
    <w:rsid w:val="47852031"/>
    <w:rsid w:val="478E2C5A"/>
    <w:rsid w:val="478F53B1"/>
    <w:rsid w:val="47933F6A"/>
    <w:rsid w:val="47A37AB8"/>
    <w:rsid w:val="47B36E87"/>
    <w:rsid w:val="47B643AE"/>
    <w:rsid w:val="47BD20CE"/>
    <w:rsid w:val="47C01792"/>
    <w:rsid w:val="47C73134"/>
    <w:rsid w:val="47CE449C"/>
    <w:rsid w:val="47D61C5B"/>
    <w:rsid w:val="47DC0FEC"/>
    <w:rsid w:val="47E66276"/>
    <w:rsid w:val="47ED064E"/>
    <w:rsid w:val="4808150F"/>
    <w:rsid w:val="48087CA8"/>
    <w:rsid w:val="480930D0"/>
    <w:rsid w:val="481C6C80"/>
    <w:rsid w:val="48297B3A"/>
    <w:rsid w:val="482A2846"/>
    <w:rsid w:val="48322384"/>
    <w:rsid w:val="4838537D"/>
    <w:rsid w:val="483917EB"/>
    <w:rsid w:val="483A07C7"/>
    <w:rsid w:val="48455CC6"/>
    <w:rsid w:val="48472117"/>
    <w:rsid w:val="48477461"/>
    <w:rsid w:val="4849393F"/>
    <w:rsid w:val="48574E50"/>
    <w:rsid w:val="48687305"/>
    <w:rsid w:val="486D4ADF"/>
    <w:rsid w:val="488E4A08"/>
    <w:rsid w:val="489A3B09"/>
    <w:rsid w:val="48B42E8A"/>
    <w:rsid w:val="48C04AA4"/>
    <w:rsid w:val="48C6537F"/>
    <w:rsid w:val="48CD2CAB"/>
    <w:rsid w:val="48D67C9B"/>
    <w:rsid w:val="48E05B10"/>
    <w:rsid w:val="48E93063"/>
    <w:rsid w:val="48EE3A8B"/>
    <w:rsid w:val="48F109C3"/>
    <w:rsid w:val="490071D2"/>
    <w:rsid w:val="49183160"/>
    <w:rsid w:val="491E4135"/>
    <w:rsid w:val="49325318"/>
    <w:rsid w:val="49326CB9"/>
    <w:rsid w:val="494163F3"/>
    <w:rsid w:val="49486F7B"/>
    <w:rsid w:val="495260E4"/>
    <w:rsid w:val="496330D4"/>
    <w:rsid w:val="49654B88"/>
    <w:rsid w:val="496B05DB"/>
    <w:rsid w:val="496C2F91"/>
    <w:rsid w:val="49703611"/>
    <w:rsid w:val="497D4288"/>
    <w:rsid w:val="49841F0A"/>
    <w:rsid w:val="49905BB7"/>
    <w:rsid w:val="499A0294"/>
    <w:rsid w:val="499A3A51"/>
    <w:rsid w:val="499A6DF6"/>
    <w:rsid w:val="499E7318"/>
    <w:rsid w:val="49C54698"/>
    <w:rsid w:val="49C74CEA"/>
    <w:rsid w:val="49EB1085"/>
    <w:rsid w:val="49F418CB"/>
    <w:rsid w:val="4A00269A"/>
    <w:rsid w:val="4A026BBB"/>
    <w:rsid w:val="4A172F95"/>
    <w:rsid w:val="4A216F28"/>
    <w:rsid w:val="4A412CF9"/>
    <w:rsid w:val="4A472FEE"/>
    <w:rsid w:val="4A68703D"/>
    <w:rsid w:val="4A730694"/>
    <w:rsid w:val="4A7759E4"/>
    <w:rsid w:val="4A7E39AE"/>
    <w:rsid w:val="4A83188A"/>
    <w:rsid w:val="4A871281"/>
    <w:rsid w:val="4A8968EC"/>
    <w:rsid w:val="4A92249E"/>
    <w:rsid w:val="4A996270"/>
    <w:rsid w:val="4AAF69D0"/>
    <w:rsid w:val="4AB4549B"/>
    <w:rsid w:val="4AB64F6A"/>
    <w:rsid w:val="4ABD36A3"/>
    <w:rsid w:val="4AC31003"/>
    <w:rsid w:val="4AC36F78"/>
    <w:rsid w:val="4ACB4A94"/>
    <w:rsid w:val="4AD33462"/>
    <w:rsid w:val="4ADE5EFA"/>
    <w:rsid w:val="4AE9298A"/>
    <w:rsid w:val="4AE93159"/>
    <w:rsid w:val="4AF86913"/>
    <w:rsid w:val="4AFE7ABB"/>
    <w:rsid w:val="4B077DC7"/>
    <w:rsid w:val="4B090128"/>
    <w:rsid w:val="4B09738D"/>
    <w:rsid w:val="4B140607"/>
    <w:rsid w:val="4B1D2063"/>
    <w:rsid w:val="4B3044DD"/>
    <w:rsid w:val="4B357E3B"/>
    <w:rsid w:val="4B361EBA"/>
    <w:rsid w:val="4B395BAD"/>
    <w:rsid w:val="4B3B7513"/>
    <w:rsid w:val="4B3B7A12"/>
    <w:rsid w:val="4B3D168B"/>
    <w:rsid w:val="4B467601"/>
    <w:rsid w:val="4B485FD2"/>
    <w:rsid w:val="4B4A331E"/>
    <w:rsid w:val="4B5121B8"/>
    <w:rsid w:val="4B5E486B"/>
    <w:rsid w:val="4B625346"/>
    <w:rsid w:val="4B63558E"/>
    <w:rsid w:val="4B6C3D35"/>
    <w:rsid w:val="4B714CB1"/>
    <w:rsid w:val="4B853C96"/>
    <w:rsid w:val="4B8F2E26"/>
    <w:rsid w:val="4B914B78"/>
    <w:rsid w:val="4BA01C4F"/>
    <w:rsid w:val="4BAA61A4"/>
    <w:rsid w:val="4BBA6108"/>
    <w:rsid w:val="4BC45479"/>
    <w:rsid w:val="4BCD7BC0"/>
    <w:rsid w:val="4BD0339A"/>
    <w:rsid w:val="4BEB3F1A"/>
    <w:rsid w:val="4BEF2A4B"/>
    <w:rsid w:val="4BFC0839"/>
    <w:rsid w:val="4C173C8F"/>
    <w:rsid w:val="4C1E6472"/>
    <w:rsid w:val="4C1F438B"/>
    <w:rsid w:val="4C325947"/>
    <w:rsid w:val="4C356FB7"/>
    <w:rsid w:val="4C383AF5"/>
    <w:rsid w:val="4C547132"/>
    <w:rsid w:val="4C551095"/>
    <w:rsid w:val="4C571023"/>
    <w:rsid w:val="4C643337"/>
    <w:rsid w:val="4C6756BF"/>
    <w:rsid w:val="4C69712C"/>
    <w:rsid w:val="4C803CDA"/>
    <w:rsid w:val="4C913BA9"/>
    <w:rsid w:val="4CA064E7"/>
    <w:rsid w:val="4CBC0854"/>
    <w:rsid w:val="4CBD0321"/>
    <w:rsid w:val="4CC30E8C"/>
    <w:rsid w:val="4CC45089"/>
    <w:rsid w:val="4CCA4C6A"/>
    <w:rsid w:val="4CDD417A"/>
    <w:rsid w:val="4CE15409"/>
    <w:rsid w:val="4CF35791"/>
    <w:rsid w:val="4CF50D48"/>
    <w:rsid w:val="4CF77E42"/>
    <w:rsid w:val="4CFB5822"/>
    <w:rsid w:val="4CFB62AA"/>
    <w:rsid w:val="4D017DC1"/>
    <w:rsid w:val="4D0400DD"/>
    <w:rsid w:val="4D0567AF"/>
    <w:rsid w:val="4D06197F"/>
    <w:rsid w:val="4D102B5D"/>
    <w:rsid w:val="4D164C2B"/>
    <w:rsid w:val="4D1C273A"/>
    <w:rsid w:val="4D262A2C"/>
    <w:rsid w:val="4D30247A"/>
    <w:rsid w:val="4D341482"/>
    <w:rsid w:val="4D410EF4"/>
    <w:rsid w:val="4D462159"/>
    <w:rsid w:val="4D4C2166"/>
    <w:rsid w:val="4D50249E"/>
    <w:rsid w:val="4D51400A"/>
    <w:rsid w:val="4D556F78"/>
    <w:rsid w:val="4D565CAA"/>
    <w:rsid w:val="4D58366D"/>
    <w:rsid w:val="4D6955D8"/>
    <w:rsid w:val="4D6B67C1"/>
    <w:rsid w:val="4D6F7A34"/>
    <w:rsid w:val="4D960002"/>
    <w:rsid w:val="4D9B6D2E"/>
    <w:rsid w:val="4DA07078"/>
    <w:rsid w:val="4DA5014E"/>
    <w:rsid w:val="4DBB225B"/>
    <w:rsid w:val="4DBD7B3F"/>
    <w:rsid w:val="4DC605B6"/>
    <w:rsid w:val="4DE847BA"/>
    <w:rsid w:val="4DE86848"/>
    <w:rsid w:val="4DEC0985"/>
    <w:rsid w:val="4DFA547F"/>
    <w:rsid w:val="4DFB66B3"/>
    <w:rsid w:val="4E0C2F70"/>
    <w:rsid w:val="4E107403"/>
    <w:rsid w:val="4E27683A"/>
    <w:rsid w:val="4E4A0C2F"/>
    <w:rsid w:val="4E4B3B29"/>
    <w:rsid w:val="4E5220B8"/>
    <w:rsid w:val="4E5A10B0"/>
    <w:rsid w:val="4E616B3E"/>
    <w:rsid w:val="4E6F7328"/>
    <w:rsid w:val="4E7528F2"/>
    <w:rsid w:val="4E7617A4"/>
    <w:rsid w:val="4E7A082D"/>
    <w:rsid w:val="4E7E2B75"/>
    <w:rsid w:val="4E863914"/>
    <w:rsid w:val="4E92686E"/>
    <w:rsid w:val="4E976CCB"/>
    <w:rsid w:val="4EAC3BA4"/>
    <w:rsid w:val="4EB105AA"/>
    <w:rsid w:val="4EC9320F"/>
    <w:rsid w:val="4ECB5211"/>
    <w:rsid w:val="4EDE0694"/>
    <w:rsid w:val="4EE75E36"/>
    <w:rsid w:val="4EEC40E0"/>
    <w:rsid w:val="4EF228F5"/>
    <w:rsid w:val="4EF7752A"/>
    <w:rsid w:val="4EF82B75"/>
    <w:rsid w:val="4F071280"/>
    <w:rsid w:val="4F10463D"/>
    <w:rsid w:val="4F1123BD"/>
    <w:rsid w:val="4F1F784D"/>
    <w:rsid w:val="4F266EF6"/>
    <w:rsid w:val="4F285975"/>
    <w:rsid w:val="4F29537D"/>
    <w:rsid w:val="4F4C7C5F"/>
    <w:rsid w:val="4F4F3422"/>
    <w:rsid w:val="4F5466DF"/>
    <w:rsid w:val="4F546DA0"/>
    <w:rsid w:val="4F550049"/>
    <w:rsid w:val="4F604760"/>
    <w:rsid w:val="4F7007F7"/>
    <w:rsid w:val="4F7043AD"/>
    <w:rsid w:val="4F7F1C50"/>
    <w:rsid w:val="4F832EF4"/>
    <w:rsid w:val="4F833792"/>
    <w:rsid w:val="4F883C48"/>
    <w:rsid w:val="4F8A20E6"/>
    <w:rsid w:val="4F8A7BC0"/>
    <w:rsid w:val="4F8D6510"/>
    <w:rsid w:val="4F8D77DA"/>
    <w:rsid w:val="4F9357FB"/>
    <w:rsid w:val="4FA013B8"/>
    <w:rsid w:val="4FA64600"/>
    <w:rsid w:val="4FA96589"/>
    <w:rsid w:val="4FAE5360"/>
    <w:rsid w:val="4FBA142B"/>
    <w:rsid w:val="4FBD34A5"/>
    <w:rsid w:val="4FC1776C"/>
    <w:rsid w:val="4FD84CD8"/>
    <w:rsid w:val="4FE05340"/>
    <w:rsid w:val="4FE10885"/>
    <w:rsid w:val="4FEA3C02"/>
    <w:rsid w:val="4FFC09FA"/>
    <w:rsid w:val="4FFC2D36"/>
    <w:rsid w:val="4FFF7F28"/>
    <w:rsid w:val="500872EC"/>
    <w:rsid w:val="500E55C2"/>
    <w:rsid w:val="502225BF"/>
    <w:rsid w:val="50234ED9"/>
    <w:rsid w:val="5031187E"/>
    <w:rsid w:val="503C31C5"/>
    <w:rsid w:val="504061AF"/>
    <w:rsid w:val="504B492B"/>
    <w:rsid w:val="504E24B7"/>
    <w:rsid w:val="50545AA9"/>
    <w:rsid w:val="50582EC6"/>
    <w:rsid w:val="505A5DCE"/>
    <w:rsid w:val="506B2987"/>
    <w:rsid w:val="50741160"/>
    <w:rsid w:val="5076680B"/>
    <w:rsid w:val="507B3172"/>
    <w:rsid w:val="5084349F"/>
    <w:rsid w:val="50866E45"/>
    <w:rsid w:val="509973B7"/>
    <w:rsid w:val="509C25CE"/>
    <w:rsid w:val="509F7D5A"/>
    <w:rsid w:val="50A35995"/>
    <w:rsid w:val="50AA19F9"/>
    <w:rsid w:val="50AD5E06"/>
    <w:rsid w:val="50AE5999"/>
    <w:rsid w:val="50B449A7"/>
    <w:rsid w:val="50C71724"/>
    <w:rsid w:val="50D121AD"/>
    <w:rsid w:val="50D87F07"/>
    <w:rsid w:val="50F37354"/>
    <w:rsid w:val="5106006C"/>
    <w:rsid w:val="51113B16"/>
    <w:rsid w:val="5115202B"/>
    <w:rsid w:val="511C1210"/>
    <w:rsid w:val="51201167"/>
    <w:rsid w:val="512257EC"/>
    <w:rsid w:val="512602C5"/>
    <w:rsid w:val="512C52F5"/>
    <w:rsid w:val="51353B62"/>
    <w:rsid w:val="5154742F"/>
    <w:rsid w:val="51673257"/>
    <w:rsid w:val="516A607D"/>
    <w:rsid w:val="51727A6E"/>
    <w:rsid w:val="5176668D"/>
    <w:rsid w:val="5177075C"/>
    <w:rsid w:val="51867298"/>
    <w:rsid w:val="519A793B"/>
    <w:rsid w:val="51B229EA"/>
    <w:rsid w:val="51B44F82"/>
    <w:rsid w:val="51BB6A42"/>
    <w:rsid w:val="51EA2DE5"/>
    <w:rsid w:val="51EE72CD"/>
    <w:rsid w:val="51F4219D"/>
    <w:rsid w:val="51F74F51"/>
    <w:rsid w:val="51FE6D80"/>
    <w:rsid w:val="520F5432"/>
    <w:rsid w:val="521337E6"/>
    <w:rsid w:val="52177AA1"/>
    <w:rsid w:val="52246790"/>
    <w:rsid w:val="52261B16"/>
    <w:rsid w:val="522C7AD9"/>
    <w:rsid w:val="523474E0"/>
    <w:rsid w:val="52475304"/>
    <w:rsid w:val="52551034"/>
    <w:rsid w:val="526243F0"/>
    <w:rsid w:val="52705EC1"/>
    <w:rsid w:val="527962D7"/>
    <w:rsid w:val="5292362A"/>
    <w:rsid w:val="52940A3F"/>
    <w:rsid w:val="529A38F1"/>
    <w:rsid w:val="529D4E63"/>
    <w:rsid w:val="529F1552"/>
    <w:rsid w:val="52A34AB2"/>
    <w:rsid w:val="52AF0DD9"/>
    <w:rsid w:val="52BD3ADE"/>
    <w:rsid w:val="52BF2C01"/>
    <w:rsid w:val="52C53ACD"/>
    <w:rsid w:val="52CB05BA"/>
    <w:rsid w:val="52CE133A"/>
    <w:rsid w:val="52DA1E09"/>
    <w:rsid w:val="52E04D27"/>
    <w:rsid w:val="52E32981"/>
    <w:rsid w:val="52E913DE"/>
    <w:rsid w:val="52E94170"/>
    <w:rsid w:val="52EB65D5"/>
    <w:rsid w:val="52EC50B8"/>
    <w:rsid w:val="52FE0554"/>
    <w:rsid w:val="53120CFC"/>
    <w:rsid w:val="53244FD4"/>
    <w:rsid w:val="532A0532"/>
    <w:rsid w:val="532A206D"/>
    <w:rsid w:val="535823CE"/>
    <w:rsid w:val="535F2FBE"/>
    <w:rsid w:val="53732692"/>
    <w:rsid w:val="537B1BAC"/>
    <w:rsid w:val="538170BD"/>
    <w:rsid w:val="5388146F"/>
    <w:rsid w:val="53A25E5A"/>
    <w:rsid w:val="53A8247D"/>
    <w:rsid w:val="53AF57E3"/>
    <w:rsid w:val="53BF35E3"/>
    <w:rsid w:val="53C62FC6"/>
    <w:rsid w:val="53C6413D"/>
    <w:rsid w:val="53D21194"/>
    <w:rsid w:val="53DB3477"/>
    <w:rsid w:val="53E769F5"/>
    <w:rsid w:val="53F36EAC"/>
    <w:rsid w:val="5404203B"/>
    <w:rsid w:val="54050479"/>
    <w:rsid w:val="54075BDB"/>
    <w:rsid w:val="54094BB7"/>
    <w:rsid w:val="54111939"/>
    <w:rsid w:val="541A0B61"/>
    <w:rsid w:val="541B0A0A"/>
    <w:rsid w:val="541B1B8B"/>
    <w:rsid w:val="542733CD"/>
    <w:rsid w:val="542C00E9"/>
    <w:rsid w:val="542E0EEF"/>
    <w:rsid w:val="54360D76"/>
    <w:rsid w:val="543842CB"/>
    <w:rsid w:val="543A15B7"/>
    <w:rsid w:val="54574F7A"/>
    <w:rsid w:val="545A1905"/>
    <w:rsid w:val="545C3B45"/>
    <w:rsid w:val="5461327D"/>
    <w:rsid w:val="5465199D"/>
    <w:rsid w:val="547669EF"/>
    <w:rsid w:val="54794BB2"/>
    <w:rsid w:val="54933973"/>
    <w:rsid w:val="54955F57"/>
    <w:rsid w:val="549B3C60"/>
    <w:rsid w:val="54AF5063"/>
    <w:rsid w:val="54B0483C"/>
    <w:rsid w:val="54B71A45"/>
    <w:rsid w:val="54B808B5"/>
    <w:rsid w:val="54BB6DA1"/>
    <w:rsid w:val="54BB739C"/>
    <w:rsid w:val="54C00118"/>
    <w:rsid w:val="54C02995"/>
    <w:rsid w:val="54CC2D21"/>
    <w:rsid w:val="54CC73F7"/>
    <w:rsid w:val="54CF7B6E"/>
    <w:rsid w:val="54D01D6B"/>
    <w:rsid w:val="54D34877"/>
    <w:rsid w:val="54D35902"/>
    <w:rsid w:val="54E77A3B"/>
    <w:rsid w:val="54EC462D"/>
    <w:rsid w:val="54ED0C8E"/>
    <w:rsid w:val="54F47698"/>
    <w:rsid w:val="550057C5"/>
    <w:rsid w:val="550401B5"/>
    <w:rsid w:val="550452B8"/>
    <w:rsid w:val="55121A7D"/>
    <w:rsid w:val="551D1F05"/>
    <w:rsid w:val="551D2CD0"/>
    <w:rsid w:val="55265F20"/>
    <w:rsid w:val="552F7931"/>
    <w:rsid w:val="554B732F"/>
    <w:rsid w:val="55583C9F"/>
    <w:rsid w:val="55622E07"/>
    <w:rsid w:val="55654570"/>
    <w:rsid w:val="55675359"/>
    <w:rsid w:val="556B17BE"/>
    <w:rsid w:val="556C4DF3"/>
    <w:rsid w:val="55710543"/>
    <w:rsid w:val="55724DEC"/>
    <w:rsid w:val="55732B25"/>
    <w:rsid w:val="55743511"/>
    <w:rsid w:val="55771D68"/>
    <w:rsid w:val="55791780"/>
    <w:rsid w:val="55856DFD"/>
    <w:rsid w:val="559B3E08"/>
    <w:rsid w:val="55A339CC"/>
    <w:rsid w:val="55A508C3"/>
    <w:rsid w:val="55A64AFF"/>
    <w:rsid w:val="55B13421"/>
    <w:rsid w:val="55C277C4"/>
    <w:rsid w:val="55C61773"/>
    <w:rsid w:val="55C62BDF"/>
    <w:rsid w:val="55C652B9"/>
    <w:rsid w:val="55C9779B"/>
    <w:rsid w:val="55DD6F2A"/>
    <w:rsid w:val="55E226DC"/>
    <w:rsid w:val="55ED0AF6"/>
    <w:rsid w:val="55F30480"/>
    <w:rsid w:val="55F94E85"/>
    <w:rsid w:val="560F01E6"/>
    <w:rsid w:val="561508F4"/>
    <w:rsid w:val="561F23CB"/>
    <w:rsid w:val="56322087"/>
    <w:rsid w:val="56352CBB"/>
    <w:rsid w:val="56366248"/>
    <w:rsid w:val="5639246B"/>
    <w:rsid w:val="563C3444"/>
    <w:rsid w:val="563F0A10"/>
    <w:rsid w:val="5646637E"/>
    <w:rsid w:val="564F0D12"/>
    <w:rsid w:val="564F1560"/>
    <w:rsid w:val="56534855"/>
    <w:rsid w:val="56535A99"/>
    <w:rsid w:val="566B3276"/>
    <w:rsid w:val="5683475B"/>
    <w:rsid w:val="568D6C38"/>
    <w:rsid w:val="56921406"/>
    <w:rsid w:val="56A82ED8"/>
    <w:rsid w:val="56A92B49"/>
    <w:rsid w:val="56B339C1"/>
    <w:rsid w:val="56B87B6C"/>
    <w:rsid w:val="56B977E9"/>
    <w:rsid w:val="56C667C4"/>
    <w:rsid w:val="56CC0F6A"/>
    <w:rsid w:val="56DE0B7C"/>
    <w:rsid w:val="56E750AC"/>
    <w:rsid w:val="56E82024"/>
    <w:rsid w:val="56EC0111"/>
    <w:rsid w:val="56F41D58"/>
    <w:rsid w:val="56F851E0"/>
    <w:rsid w:val="56FD5B98"/>
    <w:rsid w:val="57003F36"/>
    <w:rsid w:val="57043A0D"/>
    <w:rsid w:val="57053A84"/>
    <w:rsid w:val="570756CA"/>
    <w:rsid w:val="570C2DE1"/>
    <w:rsid w:val="570C65A4"/>
    <w:rsid w:val="572454C1"/>
    <w:rsid w:val="57333022"/>
    <w:rsid w:val="57492B2B"/>
    <w:rsid w:val="5753730A"/>
    <w:rsid w:val="575B1695"/>
    <w:rsid w:val="5761746F"/>
    <w:rsid w:val="576E2E88"/>
    <w:rsid w:val="577432BD"/>
    <w:rsid w:val="577618D0"/>
    <w:rsid w:val="577703DF"/>
    <w:rsid w:val="57773CCA"/>
    <w:rsid w:val="577F4C91"/>
    <w:rsid w:val="57811AD5"/>
    <w:rsid w:val="57845960"/>
    <w:rsid w:val="578D2369"/>
    <w:rsid w:val="578F220A"/>
    <w:rsid w:val="57927E70"/>
    <w:rsid w:val="579A739D"/>
    <w:rsid w:val="57A332A1"/>
    <w:rsid w:val="57AB158B"/>
    <w:rsid w:val="57B96CCD"/>
    <w:rsid w:val="57BF0974"/>
    <w:rsid w:val="57CF37BE"/>
    <w:rsid w:val="57D073D5"/>
    <w:rsid w:val="57D809D5"/>
    <w:rsid w:val="57DA1037"/>
    <w:rsid w:val="57F02F6B"/>
    <w:rsid w:val="57F26C00"/>
    <w:rsid w:val="57FB6D06"/>
    <w:rsid w:val="57FC07D9"/>
    <w:rsid w:val="58045703"/>
    <w:rsid w:val="58156C25"/>
    <w:rsid w:val="58164A56"/>
    <w:rsid w:val="581A0E56"/>
    <w:rsid w:val="581D333D"/>
    <w:rsid w:val="58236C9B"/>
    <w:rsid w:val="582D67C0"/>
    <w:rsid w:val="58356379"/>
    <w:rsid w:val="584255B0"/>
    <w:rsid w:val="58462DD6"/>
    <w:rsid w:val="58500F22"/>
    <w:rsid w:val="585F05E4"/>
    <w:rsid w:val="586441CF"/>
    <w:rsid w:val="58645BB0"/>
    <w:rsid w:val="5865040D"/>
    <w:rsid w:val="5865794A"/>
    <w:rsid w:val="58731FC4"/>
    <w:rsid w:val="58754051"/>
    <w:rsid w:val="587563F0"/>
    <w:rsid w:val="5876603D"/>
    <w:rsid w:val="58786C5A"/>
    <w:rsid w:val="588643AF"/>
    <w:rsid w:val="58932734"/>
    <w:rsid w:val="58A305FF"/>
    <w:rsid w:val="58A47EA4"/>
    <w:rsid w:val="58B3174E"/>
    <w:rsid w:val="58BB4D6A"/>
    <w:rsid w:val="58BC254B"/>
    <w:rsid w:val="58C70D75"/>
    <w:rsid w:val="58C83822"/>
    <w:rsid w:val="58D04E09"/>
    <w:rsid w:val="58D53475"/>
    <w:rsid w:val="58D6779F"/>
    <w:rsid w:val="58F902E2"/>
    <w:rsid w:val="58FD45B9"/>
    <w:rsid w:val="59051572"/>
    <w:rsid w:val="590755CC"/>
    <w:rsid w:val="590B3387"/>
    <w:rsid w:val="590C5472"/>
    <w:rsid w:val="59345869"/>
    <w:rsid w:val="59355DE7"/>
    <w:rsid w:val="59361A26"/>
    <w:rsid w:val="593D2C21"/>
    <w:rsid w:val="594E6F54"/>
    <w:rsid w:val="594F0AB2"/>
    <w:rsid w:val="59536EBF"/>
    <w:rsid w:val="596832BD"/>
    <w:rsid w:val="59715A81"/>
    <w:rsid w:val="598D4FB3"/>
    <w:rsid w:val="59930430"/>
    <w:rsid w:val="599C71BC"/>
    <w:rsid w:val="59A20F85"/>
    <w:rsid w:val="59A4446D"/>
    <w:rsid w:val="59AD3B82"/>
    <w:rsid w:val="59AF7AF5"/>
    <w:rsid w:val="59BF5A71"/>
    <w:rsid w:val="59D07BC9"/>
    <w:rsid w:val="59F02C9F"/>
    <w:rsid w:val="59F749B4"/>
    <w:rsid w:val="59F95BB8"/>
    <w:rsid w:val="5A0617F8"/>
    <w:rsid w:val="5A1135F0"/>
    <w:rsid w:val="5A140011"/>
    <w:rsid w:val="5A154AEF"/>
    <w:rsid w:val="5A1A7058"/>
    <w:rsid w:val="5A1F7422"/>
    <w:rsid w:val="5A225214"/>
    <w:rsid w:val="5A2377F6"/>
    <w:rsid w:val="5A2767FC"/>
    <w:rsid w:val="5A300DC4"/>
    <w:rsid w:val="5A360801"/>
    <w:rsid w:val="5A5A3AB9"/>
    <w:rsid w:val="5A613DFD"/>
    <w:rsid w:val="5A697853"/>
    <w:rsid w:val="5A703DC2"/>
    <w:rsid w:val="5A7553E0"/>
    <w:rsid w:val="5A7C7776"/>
    <w:rsid w:val="5A8849E0"/>
    <w:rsid w:val="5A912635"/>
    <w:rsid w:val="5A9B6846"/>
    <w:rsid w:val="5A9F529B"/>
    <w:rsid w:val="5AAB07BE"/>
    <w:rsid w:val="5AAD0741"/>
    <w:rsid w:val="5AB01EF5"/>
    <w:rsid w:val="5AB03F69"/>
    <w:rsid w:val="5ACF0F3A"/>
    <w:rsid w:val="5AD01999"/>
    <w:rsid w:val="5AD425DD"/>
    <w:rsid w:val="5AD536C7"/>
    <w:rsid w:val="5AD66D49"/>
    <w:rsid w:val="5ADD6C55"/>
    <w:rsid w:val="5AF32DD1"/>
    <w:rsid w:val="5AF63463"/>
    <w:rsid w:val="5B042B3F"/>
    <w:rsid w:val="5B0458B5"/>
    <w:rsid w:val="5B0A2C08"/>
    <w:rsid w:val="5B102C56"/>
    <w:rsid w:val="5B1409AA"/>
    <w:rsid w:val="5B227E0A"/>
    <w:rsid w:val="5B2B4E18"/>
    <w:rsid w:val="5B493638"/>
    <w:rsid w:val="5B4B3F61"/>
    <w:rsid w:val="5B5C5C9A"/>
    <w:rsid w:val="5B5F6BF8"/>
    <w:rsid w:val="5B6636A4"/>
    <w:rsid w:val="5B774EA2"/>
    <w:rsid w:val="5B7C4052"/>
    <w:rsid w:val="5B7D4A9E"/>
    <w:rsid w:val="5B7E1360"/>
    <w:rsid w:val="5B8528C2"/>
    <w:rsid w:val="5B867557"/>
    <w:rsid w:val="5B9177B1"/>
    <w:rsid w:val="5B9A4476"/>
    <w:rsid w:val="5BA25566"/>
    <w:rsid w:val="5BB86DE2"/>
    <w:rsid w:val="5BBB25BF"/>
    <w:rsid w:val="5BC225C9"/>
    <w:rsid w:val="5BC83C8B"/>
    <w:rsid w:val="5BC9030E"/>
    <w:rsid w:val="5BDE1AAC"/>
    <w:rsid w:val="5BE44738"/>
    <w:rsid w:val="5BEE7E8C"/>
    <w:rsid w:val="5BF35D6A"/>
    <w:rsid w:val="5BFA0D6B"/>
    <w:rsid w:val="5C036132"/>
    <w:rsid w:val="5C0E7BBE"/>
    <w:rsid w:val="5C1169EA"/>
    <w:rsid w:val="5C121B17"/>
    <w:rsid w:val="5C181D04"/>
    <w:rsid w:val="5C1859FA"/>
    <w:rsid w:val="5C1A77F7"/>
    <w:rsid w:val="5C3259F7"/>
    <w:rsid w:val="5C39596B"/>
    <w:rsid w:val="5C4F36F8"/>
    <w:rsid w:val="5C51003E"/>
    <w:rsid w:val="5C63642F"/>
    <w:rsid w:val="5C6B1600"/>
    <w:rsid w:val="5C83097E"/>
    <w:rsid w:val="5C885EE6"/>
    <w:rsid w:val="5C977ED7"/>
    <w:rsid w:val="5C9D6A68"/>
    <w:rsid w:val="5C9E4670"/>
    <w:rsid w:val="5C9E4D03"/>
    <w:rsid w:val="5CA65E57"/>
    <w:rsid w:val="5CC037D9"/>
    <w:rsid w:val="5CC32E17"/>
    <w:rsid w:val="5CD31C7F"/>
    <w:rsid w:val="5CDB79D6"/>
    <w:rsid w:val="5CE005AE"/>
    <w:rsid w:val="5CEC6D89"/>
    <w:rsid w:val="5CF82A2C"/>
    <w:rsid w:val="5D004A36"/>
    <w:rsid w:val="5D0604D7"/>
    <w:rsid w:val="5D13137B"/>
    <w:rsid w:val="5D1630E3"/>
    <w:rsid w:val="5D1815AF"/>
    <w:rsid w:val="5D187846"/>
    <w:rsid w:val="5D1A1927"/>
    <w:rsid w:val="5D1F1558"/>
    <w:rsid w:val="5D3335E5"/>
    <w:rsid w:val="5D3C263D"/>
    <w:rsid w:val="5D3D55B5"/>
    <w:rsid w:val="5D3D7D52"/>
    <w:rsid w:val="5D483743"/>
    <w:rsid w:val="5D492B8E"/>
    <w:rsid w:val="5D53307C"/>
    <w:rsid w:val="5D581BA9"/>
    <w:rsid w:val="5D5870FC"/>
    <w:rsid w:val="5D6100FB"/>
    <w:rsid w:val="5D681104"/>
    <w:rsid w:val="5D687BF1"/>
    <w:rsid w:val="5D7A1728"/>
    <w:rsid w:val="5D8D1CB9"/>
    <w:rsid w:val="5D94249D"/>
    <w:rsid w:val="5D951C02"/>
    <w:rsid w:val="5D9C6303"/>
    <w:rsid w:val="5D9D4FAE"/>
    <w:rsid w:val="5DA23FAA"/>
    <w:rsid w:val="5DA822AE"/>
    <w:rsid w:val="5DAC086E"/>
    <w:rsid w:val="5DC3048C"/>
    <w:rsid w:val="5DC3442F"/>
    <w:rsid w:val="5DC63422"/>
    <w:rsid w:val="5DCE489E"/>
    <w:rsid w:val="5DDA645C"/>
    <w:rsid w:val="5DE8460C"/>
    <w:rsid w:val="5DEE12E9"/>
    <w:rsid w:val="5DF635B6"/>
    <w:rsid w:val="5DF85A70"/>
    <w:rsid w:val="5DFB1629"/>
    <w:rsid w:val="5DFD51DB"/>
    <w:rsid w:val="5E020660"/>
    <w:rsid w:val="5E054668"/>
    <w:rsid w:val="5E0D36E5"/>
    <w:rsid w:val="5E1872AE"/>
    <w:rsid w:val="5E1C74E6"/>
    <w:rsid w:val="5E293922"/>
    <w:rsid w:val="5E331202"/>
    <w:rsid w:val="5E3C2A3B"/>
    <w:rsid w:val="5E4C7ED4"/>
    <w:rsid w:val="5E4D7DD2"/>
    <w:rsid w:val="5E4E541F"/>
    <w:rsid w:val="5E510FFC"/>
    <w:rsid w:val="5E5444E4"/>
    <w:rsid w:val="5E560D94"/>
    <w:rsid w:val="5E5E4F61"/>
    <w:rsid w:val="5E726D69"/>
    <w:rsid w:val="5E7718E2"/>
    <w:rsid w:val="5E7803C5"/>
    <w:rsid w:val="5E8306C1"/>
    <w:rsid w:val="5E837F24"/>
    <w:rsid w:val="5E895E34"/>
    <w:rsid w:val="5E932AA2"/>
    <w:rsid w:val="5E954508"/>
    <w:rsid w:val="5EAF36B5"/>
    <w:rsid w:val="5EC200FD"/>
    <w:rsid w:val="5ED359FC"/>
    <w:rsid w:val="5ED7724F"/>
    <w:rsid w:val="5ED8640C"/>
    <w:rsid w:val="5EE30B3C"/>
    <w:rsid w:val="5EE72E8F"/>
    <w:rsid w:val="5EEA3647"/>
    <w:rsid w:val="5EF10DC0"/>
    <w:rsid w:val="5EF11683"/>
    <w:rsid w:val="5EF22064"/>
    <w:rsid w:val="5F094CCF"/>
    <w:rsid w:val="5F0D4036"/>
    <w:rsid w:val="5F0F14D3"/>
    <w:rsid w:val="5F1E5E5E"/>
    <w:rsid w:val="5F3B42B4"/>
    <w:rsid w:val="5F3D552D"/>
    <w:rsid w:val="5F3F35E8"/>
    <w:rsid w:val="5F4A5BEC"/>
    <w:rsid w:val="5F581EE8"/>
    <w:rsid w:val="5F6566AC"/>
    <w:rsid w:val="5F676AE7"/>
    <w:rsid w:val="5F684E9E"/>
    <w:rsid w:val="5F7352CE"/>
    <w:rsid w:val="5F7F1285"/>
    <w:rsid w:val="5F850B61"/>
    <w:rsid w:val="5F866C8D"/>
    <w:rsid w:val="5F91093B"/>
    <w:rsid w:val="5F953E2A"/>
    <w:rsid w:val="5F9B00B5"/>
    <w:rsid w:val="5FA02D80"/>
    <w:rsid w:val="5FA07A57"/>
    <w:rsid w:val="5FA32676"/>
    <w:rsid w:val="5FA80BDC"/>
    <w:rsid w:val="5FD26D0B"/>
    <w:rsid w:val="5FD835EE"/>
    <w:rsid w:val="5FDA2116"/>
    <w:rsid w:val="5FE579B7"/>
    <w:rsid w:val="5FF11DCC"/>
    <w:rsid w:val="5FF63E41"/>
    <w:rsid w:val="60120937"/>
    <w:rsid w:val="60157169"/>
    <w:rsid w:val="6024554B"/>
    <w:rsid w:val="603919E5"/>
    <w:rsid w:val="604B0F37"/>
    <w:rsid w:val="60557511"/>
    <w:rsid w:val="6058199E"/>
    <w:rsid w:val="6069643B"/>
    <w:rsid w:val="607607D1"/>
    <w:rsid w:val="607B5FA9"/>
    <w:rsid w:val="607C3753"/>
    <w:rsid w:val="60845519"/>
    <w:rsid w:val="60AA0DE0"/>
    <w:rsid w:val="60C30855"/>
    <w:rsid w:val="60C40152"/>
    <w:rsid w:val="60CA1541"/>
    <w:rsid w:val="60DA3576"/>
    <w:rsid w:val="60DB0CA6"/>
    <w:rsid w:val="60E836D7"/>
    <w:rsid w:val="60EC7A85"/>
    <w:rsid w:val="60EF6FCA"/>
    <w:rsid w:val="60F417BC"/>
    <w:rsid w:val="60F75B70"/>
    <w:rsid w:val="60F8712E"/>
    <w:rsid w:val="60FF2B11"/>
    <w:rsid w:val="612573A3"/>
    <w:rsid w:val="612F2094"/>
    <w:rsid w:val="613774F8"/>
    <w:rsid w:val="61421EFD"/>
    <w:rsid w:val="615C5041"/>
    <w:rsid w:val="615D1CBB"/>
    <w:rsid w:val="615F2996"/>
    <w:rsid w:val="6167498E"/>
    <w:rsid w:val="61692C48"/>
    <w:rsid w:val="617E26BF"/>
    <w:rsid w:val="6186711A"/>
    <w:rsid w:val="618A7EE2"/>
    <w:rsid w:val="618B3154"/>
    <w:rsid w:val="618F7210"/>
    <w:rsid w:val="619C667E"/>
    <w:rsid w:val="619D3376"/>
    <w:rsid w:val="61A748D5"/>
    <w:rsid w:val="61AF0907"/>
    <w:rsid w:val="61AF4A12"/>
    <w:rsid w:val="61B50648"/>
    <w:rsid w:val="61BF2288"/>
    <w:rsid w:val="61C07821"/>
    <w:rsid w:val="61D84636"/>
    <w:rsid w:val="61DD6BD7"/>
    <w:rsid w:val="61E24F5F"/>
    <w:rsid w:val="61E65FB6"/>
    <w:rsid w:val="61EE05C5"/>
    <w:rsid w:val="62050540"/>
    <w:rsid w:val="623126AA"/>
    <w:rsid w:val="6232603A"/>
    <w:rsid w:val="62433678"/>
    <w:rsid w:val="62514DCA"/>
    <w:rsid w:val="625629A5"/>
    <w:rsid w:val="6261372E"/>
    <w:rsid w:val="626B1FAF"/>
    <w:rsid w:val="626B2017"/>
    <w:rsid w:val="627809F4"/>
    <w:rsid w:val="627975F6"/>
    <w:rsid w:val="62875773"/>
    <w:rsid w:val="628877C5"/>
    <w:rsid w:val="62937863"/>
    <w:rsid w:val="62A42F69"/>
    <w:rsid w:val="62A64EF7"/>
    <w:rsid w:val="62AD3D1B"/>
    <w:rsid w:val="62BB1E64"/>
    <w:rsid w:val="62C01AB6"/>
    <w:rsid w:val="62C34F53"/>
    <w:rsid w:val="62C55504"/>
    <w:rsid w:val="62E24555"/>
    <w:rsid w:val="62E256B8"/>
    <w:rsid w:val="62ED5479"/>
    <w:rsid w:val="62EE23AF"/>
    <w:rsid w:val="62F46EAE"/>
    <w:rsid w:val="62F54F03"/>
    <w:rsid w:val="62FA0B45"/>
    <w:rsid w:val="63124463"/>
    <w:rsid w:val="631A0F24"/>
    <w:rsid w:val="631E445A"/>
    <w:rsid w:val="63200BA2"/>
    <w:rsid w:val="63250438"/>
    <w:rsid w:val="63312390"/>
    <w:rsid w:val="63355404"/>
    <w:rsid w:val="6345339C"/>
    <w:rsid w:val="634812D2"/>
    <w:rsid w:val="634B0899"/>
    <w:rsid w:val="634E514A"/>
    <w:rsid w:val="63651E61"/>
    <w:rsid w:val="63670107"/>
    <w:rsid w:val="636A57FF"/>
    <w:rsid w:val="636E3322"/>
    <w:rsid w:val="637A64B2"/>
    <w:rsid w:val="63846CFD"/>
    <w:rsid w:val="6386492E"/>
    <w:rsid w:val="63893361"/>
    <w:rsid w:val="63902AA3"/>
    <w:rsid w:val="639A641D"/>
    <w:rsid w:val="63A769BB"/>
    <w:rsid w:val="63AB18EC"/>
    <w:rsid w:val="63AC1CFB"/>
    <w:rsid w:val="63B24904"/>
    <w:rsid w:val="63BC2966"/>
    <w:rsid w:val="63BD1908"/>
    <w:rsid w:val="63BF0F7F"/>
    <w:rsid w:val="63C7480C"/>
    <w:rsid w:val="63CA1A6F"/>
    <w:rsid w:val="63CB76D2"/>
    <w:rsid w:val="63D2355E"/>
    <w:rsid w:val="63D76251"/>
    <w:rsid w:val="63DA0FDA"/>
    <w:rsid w:val="63E31A44"/>
    <w:rsid w:val="63EB2B3D"/>
    <w:rsid w:val="63F37DDD"/>
    <w:rsid w:val="63F73559"/>
    <w:rsid w:val="63FC3AF3"/>
    <w:rsid w:val="64080C84"/>
    <w:rsid w:val="64087F2B"/>
    <w:rsid w:val="640D7E10"/>
    <w:rsid w:val="641A5412"/>
    <w:rsid w:val="641C430B"/>
    <w:rsid w:val="64294201"/>
    <w:rsid w:val="64397939"/>
    <w:rsid w:val="643A553D"/>
    <w:rsid w:val="64484466"/>
    <w:rsid w:val="64490DBB"/>
    <w:rsid w:val="644D293C"/>
    <w:rsid w:val="6455347A"/>
    <w:rsid w:val="645B4691"/>
    <w:rsid w:val="645E4F6B"/>
    <w:rsid w:val="645E6813"/>
    <w:rsid w:val="64611DF1"/>
    <w:rsid w:val="64682350"/>
    <w:rsid w:val="646B2801"/>
    <w:rsid w:val="648022FE"/>
    <w:rsid w:val="64854B27"/>
    <w:rsid w:val="649366A0"/>
    <w:rsid w:val="64A73BF0"/>
    <w:rsid w:val="64B25607"/>
    <w:rsid w:val="64B40E8F"/>
    <w:rsid w:val="64B47C1F"/>
    <w:rsid w:val="64B96AD1"/>
    <w:rsid w:val="64C22D1A"/>
    <w:rsid w:val="64C33344"/>
    <w:rsid w:val="64CF7968"/>
    <w:rsid w:val="64D13E9F"/>
    <w:rsid w:val="64F32170"/>
    <w:rsid w:val="64FB3E89"/>
    <w:rsid w:val="650B2B69"/>
    <w:rsid w:val="650B4917"/>
    <w:rsid w:val="65151352"/>
    <w:rsid w:val="651E36CB"/>
    <w:rsid w:val="65242ED8"/>
    <w:rsid w:val="65280903"/>
    <w:rsid w:val="652917ED"/>
    <w:rsid w:val="652D7EF2"/>
    <w:rsid w:val="652F3D77"/>
    <w:rsid w:val="65314E81"/>
    <w:rsid w:val="65335D41"/>
    <w:rsid w:val="653703CB"/>
    <w:rsid w:val="654756C3"/>
    <w:rsid w:val="65550F31"/>
    <w:rsid w:val="655C1A86"/>
    <w:rsid w:val="655D0953"/>
    <w:rsid w:val="655F4246"/>
    <w:rsid w:val="65651F6B"/>
    <w:rsid w:val="657B00EA"/>
    <w:rsid w:val="65821341"/>
    <w:rsid w:val="65866C4B"/>
    <w:rsid w:val="65886B1B"/>
    <w:rsid w:val="658E3840"/>
    <w:rsid w:val="659543F2"/>
    <w:rsid w:val="65996852"/>
    <w:rsid w:val="659D280C"/>
    <w:rsid w:val="659E0098"/>
    <w:rsid w:val="65A22C49"/>
    <w:rsid w:val="65A43E66"/>
    <w:rsid w:val="65A57D8C"/>
    <w:rsid w:val="65AE7FDB"/>
    <w:rsid w:val="65C0460A"/>
    <w:rsid w:val="65DF2628"/>
    <w:rsid w:val="65E1683C"/>
    <w:rsid w:val="65E227D3"/>
    <w:rsid w:val="65E94EAD"/>
    <w:rsid w:val="65EA3933"/>
    <w:rsid w:val="65EC6F83"/>
    <w:rsid w:val="65F01E8D"/>
    <w:rsid w:val="65F71655"/>
    <w:rsid w:val="65F95AAB"/>
    <w:rsid w:val="66075475"/>
    <w:rsid w:val="6609012B"/>
    <w:rsid w:val="660C567A"/>
    <w:rsid w:val="661047BB"/>
    <w:rsid w:val="661D6014"/>
    <w:rsid w:val="662B6C3B"/>
    <w:rsid w:val="66330BC3"/>
    <w:rsid w:val="663D4CB8"/>
    <w:rsid w:val="664805B8"/>
    <w:rsid w:val="6651118F"/>
    <w:rsid w:val="66581FF2"/>
    <w:rsid w:val="665E67AA"/>
    <w:rsid w:val="66673331"/>
    <w:rsid w:val="66673BC3"/>
    <w:rsid w:val="667A20DA"/>
    <w:rsid w:val="667B1210"/>
    <w:rsid w:val="668027D5"/>
    <w:rsid w:val="6682503B"/>
    <w:rsid w:val="668F7925"/>
    <w:rsid w:val="66B620BA"/>
    <w:rsid w:val="66BD3CB5"/>
    <w:rsid w:val="66BD66E7"/>
    <w:rsid w:val="66C738CA"/>
    <w:rsid w:val="66CA57AC"/>
    <w:rsid w:val="66D031FB"/>
    <w:rsid w:val="66DD0687"/>
    <w:rsid w:val="66DD5B48"/>
    <w:rsid w:val="66DE2A23"/>
    <w:rsid w:val="66E81E07"/>
    <w:rsid w:val="66EA43EF"/>
    <w:rsid w:val="66F85393"/>
    <w:rsid w:val="671E5ADE"/>
    <w:rsid w:val="672E6AAB"/>
    <w:rsid w:val="672E7853"/>
    <w:rsid w:val="67367AB2"/>
    <w:rsid w:val="67381760"/>
    <w:rsid w:val="674D14DF"/>
    <w:rsid w:val="67530DC1"/>
    <w:rsid w:val="6758502B"/>
    <w:rsid w:val="67741AB9"/>
    <w:rsid w:val="67843FB0"/>
    <w:rsid w:val="67AE0053"/>
    <w:rsid w:val="67B72B88"/>
    <w:rsid w:val="67BA69B7"/>
    <w:rsid w:val="67BE1250"/>
    <w:rsid w:val="67BF3236"/>
    <w:rsid w:val="67C73436"/>
    <w:rsid w:val="67D24C61"/>
    <w:rsid w:val="67DB5705"/>
    <w:rsid w:val="67F35067"/>
    <w:rsid w:val="67F53230"/>
    <w:rsid w:val="67F77F0F"/>
    <w:rsid w:val="68053C77"/>
    <w:rsid w:val="680F22F4"/>
    <w:rsid w:val="681A32D4"/>
    <w:rsid w:val="6826482B"/>
    <w:rsid w:val="68273117"/>
    <w:rsid w:val="682A56D2"/>
    <w:rsid w:val="682C3481"/>
    <w:rsid w:val="68390775"/>
    <w:rsid w:val="683C15A4"/>
    <w:rsid w:val="68487D88"/>
    <w:rsid w:val="685337A4"/>
    <w:rsid w:val="68540756"/>
    <w:rsid w:val="68583704"/>
    <w:rsid w:val="68595DED"/>
    <w:rsid w:val="68624DC4"/>
    <w:rsid w:val="68676EB4"/>
    <w:rsid w:val="68744703"/>
    <w:rsid w:val="687937E3"/>
    <w:rsid w:val="687F72D4"/>
    <w:rsid w:val="6883214C"/>
    <w:rsid w:val="6886096E"/>
    <w:rsid w:val="68942617"/>
    <w:rsid w:val="68AD31C1"/>
    <w:rsid w:val="68AE481B"/>
    <w:rsid w:val="68B91575"/>
    <w:rsid w:val="68B922B2"/>
    <w:rsid w:val="68B952A3"/>
    <w:rsid w:val="68BB79AA"/>
    <w:rsid w:val="68E65984"/>
    <w:rsid w:val="68E80969"/>
    <w:rsid w:val="68F368D5"/>
    <w:rsid w:val="68F723DA"/>
    <w:rsid w:val="690F418B"/>
    <w:rsid w:val="691D2AFB"/>
    <w:rsid w:val="692D4036"/>
    <w:rsid w:val="693E7FCF"/>
    <w:rsid w:val="694B30F2"/>
    <w:rsid w:val="695E57C9"/>
    <w:rsid w:val="696A524E"/>
    <w:rsid w:val="69750C46"/>
    <w:rsid w:val="69881143"/>
    <w:rsid w:val="69886008"/>
    <w:rsid w:val="699D454E"/>
    <w:rsid w:val="69AA3E27"/>
    <w:rsid w:val="69BB4FBF"/>
    <w:rsid w:val="69C5593D"/>
    <w:rsid w:val="69F50171"/>
    <w:rsid w:val="69F53E89"/>
    <w:rsid w:val="69FD0E4F"/>
    <w:rsid w:val="69FF5144"/>
    <w:rsid w:val="6A07167F"/>
    <w:rsid w:val="6A0A668F"/>
    <w:rsid w:val="6A190955"/>
    <w:rsid w:val="6A214893"/>
    <w:rsid w:val="6A3240FC"/>
    <w:rsid w:val="6A370C8B"/>
    <w:rsid w:val="6A5240CE"/>
    <w:rsid w:val="6A530B54"/>
    <w:rsid w:val="6A547DBE"/>
    <w:rsid w:val="6A5E1452"/>
    <w:rsid w:val="6A6449A0"/>
    <w:rsid w:val="6A701355"/>
    <w:rsid w:val="6A7964E9"/>
    <w:rsid w:val="6A7A2736"/>
    <w:rsid w:val="6A7B4B9C"/>
    <w:rsid w:val="6A7E332D"/>
    <w:rsid w:val="6A8277E1"/>
    <w:rsid w:val="6A851D6C"/>
    <w:rsid w:val="6A96792B"/>
    <w:rsid w:val="6A973522"/>
    <w:rsid w:val="6A9D1BC8"/>
    <w:rsid w:val="6AA23611"/>
    <w:rsid w:val="6AA56650"/>
    <w:rsid w:val="6AA82A96"/>
    <w:rsid w:val="6ABF5BA2"/>
    <w:rsid w:val="6ABF689D"/>
    <w:rsid w:val="6ACB1C3F"/>
    <w:rsid w:val="6AED7EEE"/>
    <w:rsid w:val="6B0030EF"/>
    <w:rsid w:val="6B00693B"/>
    <w:rsid w:val="6B0B0DC2"/>
    <w:rsid w:val="6B13168A"/>
    <w:rsid w:val="6B1A7A36"/>
    <w:rsid w:val="6B2314C4"/>
    <w:rsid w:val="6B24168A"/>
    <w:rsid w:val="6B243DD7"/>
    <w:rsid w:val="6B255704"/>
    <w:rsid w:val="6B2A0C0C"/>
    <w:rsid w:val="6B362ACA"/>
    <w:rsid w:val="6B386953"/>
    <w:rsid w:val="6B3E1382"/>
    <w:rsid w:val="6B3E34B0"/>
    <w:rsid w:val="6B43370B"/>
    <w:rsid w:val="6B4557BD"/>
    <w:rsid w:val="6B4C1DD7"/>
    <w:rsid w:val="6B55584D"/>
    <w:rsid w:val="6B6311E6"/>
    <w:rsid w:val="6B65600C"/>
    <w:rsid w:val="6B676F4F"/>
    <w:rsid w:val="6B770FD1"/>
    <w:rsid w:val="6B7C01BA"/>
    <w:rsid w:val="6B7E55A1"/>
    <w:rsid w:val="6B847713"/>
    <w:rsid w:val="6B9430DD"/>
    <w:rsid w:val="6BA0464D"/>
    <w:rsid w:val="6BA54B84"/>
    <w:rsid w:val="6BAC1DC7"/>
    <w:rsid w:val="6BC9729B"/>
    <w:rsid w:val="6BCB5416"/>
    <w:rsid w:val="6BCF7B12"/>
    <w:rsid w:val="6BDD02FE"/>
    <w:rsid w:val="6BDD4CFE"/>
    <w:rsid w:val="6BDF1AB4"/>
    <w:rsid w:val="6BE1115C"/>
    <w:rsid w:val="6BE17614"/>
    <w:rsid w:val="6BEE74DD"/>
    <w:rsid w:val="6BF103AC"/>
    <w:rsid w:val="6BF81826"/>
    <w:rsid w:val="6BF97952"/>
    <w:rsid w:val="6BFE3577"/>
    <w:rsid w:val="6C067E87"/>
    <w:rsid w:val="6C0766B1"/>
    <w:rsid w:val="6C077E76"/>
    <w:rsid w:val="6C0C6F8C"/>
    <w:rsid w:val="6C12107D"/>
    <w:rsid w:val="6C126A66"/>
    <w:rsid w:val="6C2007A2"/>
    <w:rsid w:val="6C2A6971"/>
    <w:rsid w:val="6C2C6BCE"/>
    <w:rsid w:val="6C362718"/>
    <w:rsid w:val="6C4344BD"/>
    <w:rsid w:val="6C471B89"/>
    <w:rsid w:val="6C51670B"/>
    <w:rsid w:val="6C520E8C"/>
    <w:rsid w:val="6C6234B4"/>
    <w:rsid w:val="6C877A3F"/>
    <w:rsid w:val="6C89456C"/>
    <w:rsid w:val="6C8B3C22"/>
    <w:rsid w:val="6C9B4D12"/>
    <w:rsid w:val="6CA16B9C"/>
    <w:rsid w:val="6CA26615"/>
    <w:rsid w:val="6CA42CDC"/>
    <w:rsid w:val="6CA86F02"/>
    <w:rsid w:val="6CC87FBD"/>
    <w:rsid w:val="6CCE511E"/>
    <w:rsid w:val="6CCE777F"/>
    <w:rsid w:val="6CD006AC"/>
    <w:rsid w:val="6CD706F6"/>
    <w:rsid w:val="6CD7474A"/>
    <w:rsid w:val="6CD83108"/>
    <w:rsid w:val="6CD94226"/>
    <w:rsid w:val="6CE00726"/>
    <w:rsid w:val="6CE7104E"/>
    <w:rsid w:val="6CE80758"/>
    <w:rsid w:val="6CF05647"/>
    <w:rsid w:val="6D0E2406"/>
    <w:rsid w:val="6D105B88"/>
    <w:rsid w:val="6D330975"/>
    <w:rsid w:val="6D367BF0"/>
    <w:rsid w:val="6D4963D0"/>
    <w:rsid w:val="6D4D6522"/>
    <w:rsid w:val="6D4E1F33"/>
    <w:rsid w:val="6D4F072F"/>
    <w:rsid w:val="6D52149E"/>
    <w:rsid w:val="6D6674BA"/>
    <w:rsid w:val="6D7722CF"/>
    <w:rsid w:val="6D7D6055"/>
    <w:rsid w:val="6D885A96"/>
    <w:rsid w:val="6D931DB5"/>
    <w:rsid w:val="6D9D324D"/>
    <w:rsid w:val="6DAB6C46"/>
    <w:rsid w:val="6DAE1420"/>
    <w:rsid w:val="6DB701AD"/>
    <w:rsid w:val="6DB74152"/>
    <w:rsid w:val="6DC017E2"/>
    <w:rsid w:val="6DC5101E"/>
    <w:rsid w:val="6DCC44A8"/>
    <w:rsid w:val="6DD209B2"/>
    <w:rsid w:val="6DD330B7"/>
    <w:rsid w:val="6DD86077"/>
    <w:rsid w:val="6DE85CEF"/>
    <w:rsid w:val="6DEA1C44"/>
    <w:rsid w:val="6DF227CD"/>
    <w:rsid w:val="6DF24A82"/>
    <w:rsid w:val="6DF308F8"/>
    <w:rsid w:val="6E0C1D91"/>
    <w:rsid w:val="6E1C005D"/>
    <w:rsid w:val="6E1E221C"/>
    <w:rsid w:val="6E2506F6"/>
    <w:rsid w:val="6E424F78"/>
    <w:rsid w:val="6E431AA4"/>
    <w:rsid w:val="6E482688"/>
    <w:rsid w:val="6E4C4F35"/>
    <w:rsid w:val="6E53357D"/>
    <w:rsid w:val="6E62080B"/>
    <w:rsid w:val="6E767D3B"/>
    <w:rsid w:val="6E7E0AF4"/>
    <w:rsid w:val="6E8A3064"/>
    <w:rsid w:val="6E9800E1"/>
    <w:rsid w:val="6EC14F8A"/>
    <w:rsid w:val="6ECA11F7"/>
    <w:rsid w:val="6ECB2D80"/>
    <w:rsid w:val="6ED94B2A"/>
    <w:rsid w:val="6EE43CE2"/>
    <w:rsid w:val="6EE51655"/>
    <w:rsid w:val="6EF75D6F"/>
    <w:rsid w:val="6EFD61CC"/>
    <w:rsid w:val="6F0805C6"/>
    <w:rsid w:val="6F132665"/>
    <w:rsid w:val="6F1549C9"/>
    <w:rsid w:val="6F1E31BC"/>
    <w:rsid w:val="6F1E7A44"/>
    <w:rsid w:val="6F202919"/>
    <w:rsid w:val="6F246623"/>
    <w:rsid w:val="6F25773C"/>
    <w:rsid w:val="6F26154F"/>
    <w:rsid w:val="6F32300C"/>
    <w:rsid w:val="6F3752A6"/>
    <w:rsid w:val="6F3A1AAF"/>
    <w:rsid w:val="6F3B60D4"/>
    <w:rsid w:val="6F5C5FF3"/>
    <w:rsid w:val="6F657DEE"/>
    <w:rsid w:val="6F6B3594"/>
    <w:rsid w:val="6F735231"/>
    <w:rsid w:val="6F7600A8"/>
    <w:rsid w:val="6F850188"/>
    <w:rsid w:val="6F864E17"/>
    <w:rsid w:val="6FA629D4"/>
    <w:rsid w:val="6FAC2942"/>
    <w:rsid w:val="6FB24A84"/>
    <w:rsid w:val="6FB32CD8"/>
    <w:rsid w:val="6FB44CC6"/>
    <w:rsid w:val="6FB967D2"/>
    <w:rsid w:val="6FBB483F"/>
    <w:rsid w:val="6FC53CBF"/>
    <w:rsid w:val="6FDD34C9"/>
    <w:rsid w:val="6FE33555"/>
    <w:rsid w:val="6FE7191A"/>
    <w:rsid w:val="70036B33"/>
    <w:rsid w:val="700536F9"/>
    <w:rsid w:val="701D0914"/>
    <w:rsid w:val="702F4BBA"/>
    <w:rsid w:val="703B6B8B"/>
    <w:rsid w:val="703F08E9"/>
    <w:rsid w:val="703F661B"/>
    <w:rsid w:val="704A6449"/>
    <w:rsid w:val="70522AB4"/>
    <w:rsid w:val="705258C5"/>
    <w:rsid w:val="70576E5C"/>
    <w:rsid w:val="706C6D05"/>
    <w:rsid w:val="706D5ECD"/>
    <w:rsid w:val="706F2491"/>
    <w:rsid w:val="706F24E8"/>
    <w:rsid w:val="706F3C26"/>
    <w:rsid w:val="7071310D"/>
    <w:rsid w:val="707D7996"/>
    <w:rsid w:val="708A22F9"/>
    <w:rsid w:val="70A15D99"/>
    <w:rsid w:val="70A46B79"/>
    <w:rsid w:val="70A86F4C"/>
    <w:rsid w:val="70BB2EF0"/>
    <w:rsid w:val="70D3338C"/>
    <w:rsid w:val="70E2432A"/>
    <w:rsid w:val="70E27E92"/>
    <w:rsid w:val="70EE540F"/>
    <w:rsid w:val="711C66ED"/>
    <w:rsid w:val="711F7645"/>
    <w:rsid w:val="71255E3B"/>
    <w:rsid w:val="713E4C21"/>
    <w:rsid w:val="714A73AE"/>
    <w:rsid w:val="71557A8E"/>
    <w:rsid w:val="7160412B"/>
    <w:rsid w:val="7161237B"/>
    <w:rsid w:val="716357C5"/>
    <w:rsid w:val="71673754"/>
    <w:rsid w:val="71674750"/>
    <w:rsid w:val="716A00AD"/>
    <w:rsid w:val="71780946"/>
    <w:rsid w:val="717C4144"/>
    <w:rsid w:val="71844CB8"/>
    <w:rsid w:val="7187151F"/>
    <w:rsid w:val="718D57A4"/>
    <w:rsid w:val="718F24CE"/>
    <w:rsid w:val="71927D1D"/>
    <w:rsid w:val="7196174D"/>
    <w:rsid w:val="71961D0C"/>
    <w:rsid w:val="719963DF"/>
    <w:rsid w:val="71997306"/>
    <w:rsid w:val="719E2F54"/>
    <w:rsid w:val="71A02C6B"/>
    <w:rsid w:val="71A4266C"/>
    <w:rsid w:val="71BD5415"/>
    <w:rsid w:val="71BE28BF"/>
    <w:rsid w:val="71CF5041"/>
    <w:rsid w:val="71DE3C82"/>
    <w:rsid w:val="71E07BB2"/>
    <w:rsid w:val="71E44BEF"/>
    <w:rsid w:val="71E460FA"/>
    <w:rsid w:val="71F3223A"/>
    <w:rsid w:val="71F33AAE"/>
    <w:rsid w:val="71FF328F"/>
    <w:rsid w:val="72003C80"/>
    <w:rsid w:val="72014667"/>
    <w:rsid w:val="720F40A0"/>
    <w:rsid w:val="72177FC1"/>
    <w:rsid w:val="72434537"/>
    <w:rsid w:val="724D1210"/>
    <w:rsid w:val="724E50F7"/>
    <w:rsid w:val="72504581"/>
    <w:rsid w:val="72555CD9"/>
    <w:rsid w:val="72601729"/>
    <w:rsid w:val="72655F5C"/>
    <w:rsid w:val="72683B81"/>
    <w:rsid w:val="726B4F06"/>
    <w:rsid w:val="72762D5D"/>
    <w:rsid w:val="727B51F8"/>
    <w:rsid w:val="729018BA"/>
    <w:rsid w:val="72AA115E"/>
    <w:rsid w:val="72AF5230"/>
    <w:rsid w:val="72B7717D"/>
    <w:rsid w:val="72C5184B"/>
    <w:rsid w:val="72E472FC"/>
    <w:rsid w:val="72EA7639"/>
    <w:rsid w:val="72FA3711"/>
    <w:rsid w:val="730317C4"/>
    <w:rsid w:val="73053BD9"/>
    <w:rsid w:val="73065C33"/>
    <w:rsid w:val="730A6945"/>
    <w:rsid w:val="731525A3"/>
    <w:rsid w:val="731933CE"/>
    <w:rsid w:val="732231B4"/>
    <w:rsid w:val="73344616"/>
    <w:rsid w:val="733D4264"/>
    <w:rsid w:val="733E0E7A"/>
    <w:rsid w:val="734034EF"/>
    <w:rsid w:val="73514852"/>
    <w:rsid w:val="7357123F"/>
    <w:rsid w:val="735D20EB"/>
    <w:rsid w:val="736374C3"/>
    <w:rsid w:val="736A079E"/>
    <w:rsid w:val="7376705B"/>
    <w:rsid w:val="737F2AEB"/>
    <w:rsid w:val="73831EC0"/>
    <w:rsid w:val="739341D4"/>
    <w:rsid w:val="739D27FF"/>
    <w:rsid w:val="739F7146"/>
    <w:rsid w:val="73A82EC1"/>
    <w:rsid w:val="73A91E87"/>
    <w:rsid w:val="73B00E54"/>
    <w:rsid w:val="73B33608"/>
    <w:rsid w:val="73B77A53"/>
    <w:rsid w:val="73B82E74"/>
    <w:rsid w:val="73B92692"/>
    <w:rsid w:val="73B92D52"/>
    <w:rsid w:val="73CA167E"/>
    <w:rsid w:val="73D425F7"/>
    <w:rsid w:val="73DA2976"/>
    <w:rsid w:val="73DA3CD4"/>
    <w:rsid w:val="73E2499D"/>
    <w:rsid w:val="73E56311"/>
    <w:rsid w:val="73ED5893"/>
    <w:rsid w:val="73F26A66"/>
    <w:rsid w:val="73F815EF"/>
    <w:rsid w:val="73FA526A"/>
    <w:rsid w:val="73FE48EC"/>
    <w:rsid w:val="740104EA"/>
    <w:rsid w:val="74154C6B"/>
    <w:rsid w:val="74160E2A"/>
    <w:rsid w:val="74183CF6"/>
    <w:rsid w:val="74294B5C"/>
    <w:rsid w:val="74303C29"/>
    <w:rsid w:val="743A38CA"/>
    <w:rsid w:val="744D5915"/>
    <w:rsid w:val="744E0DFF"/>
    <w:rsid w:val="74592CA1"/>
    <w:rsid w:val="74603B72"/>
    <w:rsid w:val="74614FCA"/>
    <w:rsid w:val="746511DC"/>
    <w:rsid w:val="746B18E5"/>
    <w:rsid w:val="746E64A5"/>
    <w:rsid w:val="747505C6"/>
    <w:rsid w:val="7485753C"/>
    <w:rsid w:val="74894BA9"/>
    <w:rsid w:val="749F1F6E"/>
    <w:rsid w:val="74A80792"/>
    <w:rsid w:val="74AA2925"/>
    <w:rsid w:val="74B3512C"/>
    <w:rsid w:val="74BD0801"/>
    <w:rsid w:val="74CB3814"/>
    <w:rsid w:val="74CE38BD"/>
    <w:rsid w:val="74D127EF"/>
    <w:rsid w:val="74D51ADB"/>
    <w:rsid w:val="74D5746E"/>
    <w:rsid w:val="74D974B1"/>
    <w:rsid w:val="74E3154C"/>
    <w:rsid w:val="74F012B3"/>
    <w:rsid w:val="751307FD"/>
    <w:rsid w:val="75251F12"/>
    <w:rsid w:val="752E1191"/>
    <w:rsid w:val="75381D90"/>
    <w:rsid w:val="753A1233"/>
    <w:rsid w:val="75400E1D"/>
    <w:rsid w:val="7543008A"/>
    <w:rsid w:val="75437788"/>
    <w:rsid w:val="7546329D"/>
    <w:rsid w:val="754C7DFA"/>
    <w:rsid w:val="755047A5"/>
    <w:rsid w:val="755060CD"/>
    <w:rsid w:val="757337F3"/>
    <w:rsid w:val="757C78D1"/>
    <w:rsid w:val="757E770E"/>
    <w:rsid w:val="758909A5"/>
    <w:rsid w:val="758B5A69"/>
    <w:rsid w:val="75985861"/>
    <w:rsid w:val="759A5ACB"/>
    <w:rsid w:val="75A53CA9"/>
    <w:rsid w:val="75AE6F5B"/>
    <w:rsid w:val="75B57B95"/>
    <w:rsid w:val="75C20C20"/>
    <w:rsid w:val="75D56F53"/>
    <w:rsid w:val="75E65B94"/>
    <w:rsid w:val="75EE31B6"/>
    <w:rsid w:val="75F61C33"/>
    <w:rsid w:val="75FB5F1A"/>
    <w:rsid w:val="7609384D"/>
    <w:rsid w:val="760E3680"/>
    <w:rsid w:val="7612202E"/>
    <w:rsid w:val="76220A9F"/>
    <w:rsid w:val="7626193D"/>
    <w:rsid w:val="762B2234"/>
    <w:rsid w:val="762E097F"/>
    <w:rsid w:val="76373E48"/>
    <w:rsid w:val="76383072"/>
    <w:rsid w:val="76392562"/>
    <w:rsid w:val="763B1CCB"/>
    <w:rsid w:val="763F361E"/>
    <w:rsid w:val="76502C61"/>
    <w:rsid w:val="7652042F"/>
    <w:rsid w:val="766B25E1"/>
    <w:rsid w:val="767022D9"/>
    <w:rsid w:val="767B1F9F"/>
    <w:rsid w:val="768D307D"/>
    <w:rsid w:val="76933951"/>
    <w:rsid w:val="769D0442"/>
    <w:rsid w:val="76A23E60"/>
    <w:rsid w:val="76AF2EAF"/>
    <w:rsid w:val="76BD5B26"/>
    <w:rsid w:val="76BF46E1"/>
    <w:rsid w:val="76D077B1"/>
    <w:rsid w:val="76D6728D"/>
    <w:rsid w:val="76EB3E7C"/>
    <w:rsid w:val="76F6516D"/>
    <w:rsid w:val="77002688"/>
    <w:rsid w:val="77062A85"/>
    <w:rsid w:val="770C3118"/>
    <w:rsid w:val="770C684D"/>
    <w:rsid w:val="770C70DC"/>
    <w:rsid w:val="77160F33"/>
    <w:rsid w:val="771B07EE"/>
    <w:rsid w:val="771F747E"/>
    <w:rsid w:val="77226BD3"/>
    <w:rsid w:val="77332E82"/>
    <w:rsid w:val="773A68DE"/>
    <w:rsid w:val="77484363"/>
    <w:rsid w:val="7767336A"/>
    <w:rsid w:val="777233FB"/>
    <w:rsid w:val="7778039F"/>
    <w:rsid w:val="777C48E2"/>
    <w:rsid w:val="779C1BA2"/>
    <w:rsid w:val="77A26CF5"/>
    <w:rsid w:val="77A30B1C"/>
    <w:rsid w:val="77A75B40"/>
    <w:rsid w:val="77B82D70"/>
    <w:rsid w:val="77C436E5"/>
    <w:rsid w:val="77C82730"/>
    <w:rsid w:val="77CF76DC"/>
    <w:rsid w:val="77CF7DE3"/>
    <w:rsid w:val="77D13153"/>
    <w:rsid w:val="77D13C7B"/>
    <w:rsid w:val="77E21B99"/>
    <w:rsid w:val="77E52A6E"/>
    <w:rsid w:val="77E800D0"/>
    <w:rsid w:val="77FB0598"/>
    <w:rsid w:val="780A7493"/>
    <w:rsid w:val="780E2A4E"/>
    <w:rsid w:val="781C2479"/>
    <w:rsid w:val="781D3697"/>
    <w:rsid w:val="7838712B"/>
    <w:rsid w:val="784A22CD"/>
    <w:rsid w:val="78501B95"/>
    <w:rsid w:val="785C32FF"/>
    <w:rsid w:val="78730BE6"/>
    <w:rsid w:val="787525A3"/>
    <w:rsid w:val="78782A0D"/>
    <w:rsid w:val="7878766C"/>
    <w:rsid w:val="787D5CDE"/>
    <w:rsid w:val="78804C15"/>
    <w:rsid w:val="78826869"/>
    <w:rsid w:val="78950711"/>
    <w:rsid w:val="78A562F3"/>
    <w:rsid w:val="78A94667"/>
    <w:rsid w:val="78AE230F"/>
    <w:rsid w:val="78B65365"/>
    <w:rsid w:val="78B67EB1"/>
    <w:rsid w:val="78BE58D1"/>
    <w:rsid w:val="78C47AF4"/>
    <w:rsid w:val="78CB47CE"/>
    <w:rsid w:val="78D3635B"/>
    <w:rsid w:val="78D5028F"/>
    <w:rsid w:val="78D7506E"/>
    <w:rsid w:val="78DD4D6B"/>
    <w:rsid w:val="78DE42B4"/>
    <w:rsid w:val="78EB0742"/>
    <w:rsid w:val="78F075F1"/>
    <w:rsid w:val="7907211B"/>
    <w:rsid w:val="790E5189"/>
    <w:rsid w:val="7917760F"/>
    <w:rsid w:val="791A3F9E"/>
    <w:rsid w:val="79247D97"/>
    <w:rsid w:val="79345E7F"/>
    <w:rsid w:val="793C4F30"/>
    <w:rsid w:val="79415ADF"/>
    <w:rsid w:val="79443887"/>
    <w:rsid w:val="79457949"/>
    <w:rsid w:val="794864F2"/>
    <w:rsid w:val="794A46FA"/>
    <w:rsid w:val="794D1F48"/>
    <w:rsid w:val="794E29B5"/>
    <w:rsid w:val="79525ED2"/>
    <w:rsid w:val="79577B4E"/>
    <w:rsid w:val="795D6588"/>
    <w:rsid w:val="7964501D"/>
    <w:rsid w:val="7965376A"/>
    <w:rsid w:val="79732368"/>
    <w:rsid w:val="7984034F"/>
    <w:rsid w:val="798643BB"/>
    <w:rsid w:val="79873BFA"/>
    <w:rsid w:val="7993327D"/>
    <w:rsid w:val="799B1365"/>
    <w:rsid w:val="79A212F0"/>
    <w:rsid w:val="79A2171F"/>
    <w:rsid w:val="79A252FF"/>
    <w:rsid w:val="79B9390A"/>
    <w:rsid w:val="79C067BA"/>
    <w:rsid w:val="79C45512"/>
    <w:rsid w:val="79D136F1"/>
    <w:rsid w:val="79D33056"/>
    <w:rsid w:val="79DC077C"/>
    <w:rsid w:val="79DF3ECF"/>
    <w:rsid w:val="79FC0DF4"/>
    <w:rsid w:val="79FE4095"/>
    <w:rsid w:val="7A032F4F"/>
    <w:rsid w:val="7A196D65"/>
    <w:rsid w:val="7A2E6700"/>
    <w:rsid w:val="7A352DEA"/>
    <w:rsid w:val="7A371FF2"/>
    <w:rsid w:val="7A4F4DDF"/>
    <w:rsid w:val="7A570B82"/>
    <w:rsid w:val="7A67032F"/>
    <w:rsid w:val="7A694517"/>
    <w:rsid w:val="7A73219B"/>
    <w:rsid w:val="7A751CDC"/>
    <w:rsid w:val="7A794B26"/>
    <w:rsid w:val="7A8F2F0B"/>
    <w:rsid w:val="7A9C0A2A"/>
    <w:rsid w:val="7AA376B1"/>
    <w:rsid w:val="7AB60170"/>
    <w:rsid w:val="7ABC4AC7"/>
    <w:rsid w:val="7AC515B8"/>
    <w:rsid w:val="7AC53CEB"/>
    <w:rsid w:val="7ADB7513"/>
    <w:rsid w:val="7AE77071"/>
    <w:rsid w:val="7AEC1CF1"/>
    <w:rsid w:val="7AF3453B"/>
    <w:rsid w:val="7AF66F4A"/>
    <w:rsid w:val="7B0C4646"/>
    <w:rsid w:val="7B0C4D66"/>
    <w:rsid w:val="7B113962"/>
    <w:rsid w:val="7B121472"/>
    <w:rsid w:val="7B15654B"/>
    <w:rsid w:val="7B263141"/>
    <w:rsid w:val="7B26336B"/>
    <w:rsid w:val="7B265B4D"/>
    <w:rsid w:val="7B3548F7"/>
    <w:rsid w:val="7B3E4402"/>
    <w:rsid w:val="7B400630"/>
    <w:rsid w:val="7B4C0FA4"/>
    <w:rsid w:val="7B570198"/>
    <w:rsid w:val="7B5843D9"/>
    <w:rsid w:val="7B5A2DFD"/>
    <w:rsid w:val="7B6259E3"/>
    <w:rsid w:val="7B730209"/>
    <w:rsid w:val="7B7F6C22"/>
    <w:rsid w:val="7B8117A9"/>
    <w:rsid w:val="7B81337E"/>
    <w:rsid w:val="7B9634AE"/>
    <w:rsid w:val="7BAB10FE"/>
    <w:rsid w:val="7BB34048"/>
    <w:rsid w:val="7BB36262"/>
    <w:rsid w:val="7BB7349B"/>
    <w:rsid w:val="7BB94293"/>
    <w:rsid w:val="7BB942CD"/>
    <w:rsid w:val="7BC9443B"/>
    <w:rsid w:val="7BCE24C2"/>
    <w:rsid w:val="7BD32312"/>
    <w:rsid w:val="7BD574C3"/>
    <w:rsid w:val="7BE11041"/>
    <w:rsid w:val="7BE666FD"/>
    <w:rsid w:val="7BFB0164"/>
    <w:rsid w:val="7C170E5F"/>
    <w:rsid w:val="7C172049"/>
    <w:rsid w:val="7C1E68EE"/>
    <w:rsid w:val="7C26369C"/>
    <w:rsid w:val="7C2D2F3F"/>
    <w:rsid w:val="7C3D540A"/>
    <w:rsid w:val="7C4A1A20"/>
    <w:rsid w:val="7C564E07"/>
    <w:rsid w:val="7C5A52D2"/>
    <w:rsid w:val="7C640754"/>
    <w:rsid w:val="7C6613A4"/>
    <w:rsid w:val="7C6B108F"/>
    <w:rsid w:val="7C6F3F79"/>
    <w:rsid w:val="7C6F6EC1"/>
    <w:rsid w:val="7C7145F9"/>
    <w:rsid w:val="7C75032F"/>
    <w:rsid w:val="7C7C3A28"/>
    <w:rsid w:val="7C7C7FC2"/>
    <w:rsid w:val="7C7F2111"/>
    <w:rsid w:val="7C8E5DFB"/>
    <w:rsid w:val="7C90382B"/>
    <w:rsid w:val="7C9E5A24"/>
    <w:rsid w:val="7CA85A33"/>
    <w:rsid w:val="7CA935F8"/>
    <w:rsid w:val="7CBC6B05"/>
    <w:rsid w:val="7CCC118A"/>
    <w:rsid w:val="7CCE34A8"/>
    <w:rsid w:val="7CD309E9"/>
    <w:rsid w:val="7CD87732"/>
    <w:rsid w:val="7CDA019F"/>
    <w:rsid w:val="7CDA3127"/>
    <w:rsid w:val="7CE23614"/>
    <w:rsid w:val="7CF7091C"/>
    <w:rsid w:val="7D062932"/>
    <w:rsid w:val="7D120B24"/>
    <w:rsid w:val="7D201784"/>
    <w:rsid w:val="7D2036AB"/>
    <w:rsid w:val="7D2E0DFE"/>
    <w:rsid w:val="7D373C89"/>
    <w:rsid w:val="7D3819C3"/>
    <w:rsid w:val="7D3E224E"/>
    <w:rsid w:val="7D4811F9"/>
    <w:rsid w:val="7D4F6119"/>
    <w:rsid w:val="7D520022"/>
    <w:rsid w:val="7D5B3413"/>
    <w:rsid w:val="7D612BF8"/>
    <w:rsid w:val="7D62117D"/>
    <w:rsid w:val="7D893440"/>
    <w:rsid w:val="7D8B126B"/>
    <w:rsid w:val="7D9D286A"/>
    <w:rsid w:val="7DA03882"/>
    <w:rsid w:val="7DAA18C4"/>
    <w:rsid w:val="7DAC24E9"/>
    <w:rsid w:val="7DB72496"/>
    <w:rsid w:val="7DC21FB6"/>
    <w:rsid w:val="7DC5519B"/>
    <w:rsid w:val="7DC94D48"/>
    <w:rsid w:val="7DCF5E73"/>
    <w:rsid w:val="7DD3357A"/>
    <w:rsid w:val="7DD543B0"/>
    <w:rsid w:val="7DE04568"/>
    <w:rsid w:val="7DFC0128"/>
    <w:rsid w:val="7DFF5026"/>
    <w:rsid w:val="7DFF57D6"/>
    <w:rsid w:val="7E011339"/>
    <w:rsid w:val="7E113613"/>
    <w:rsid w:val="7E171D70"/>
    <w:rsid w:val="7E1B16D5"/>
    <w:rsid w:val="7E1E39BE"/>
    <w:rsid w:val="7E2F139F"/>
    <w:rsid w:val="7E307773"/>
    <w:rsid w:val="7E3E1EF2"/>
    <w:rsid w:val="7E4927C6"/>
    <w:rsid w:val="7E517CBD"/>
    <w:rsid w:val="7E6C71B7"/>
    <w:rsid w:val="7E6D78C0"/>
    <w:rsid w:val="7E7421E8"/>
    <w:rsid w:val="7E78234C"/>
    <w:rsid w:val="7E820801"/>
    <w:rsid w:val="7E866636"/>
    <w:rsid w:val="7E866D6D"/>
    <w:rsid w:val="7E963295"/>
    <w:rsid w:val="7E995B05"/>
    <w:rsid w:val="7EA729DD"/>
    <w:rsid w:val="7EAB7023"/>
    <w:rsid w:val="7EBC6665"/>
    <w:rsid w:val="7EC54D5B"/>
    <w:rsid w:val="7EC57780"/>
    <w:rsid w:val="7ED36790"/>
    <w:rsid w:val="7ED374EF"/>
    <w:rsid w:val="7EDD0675"/>
    <w:rsid w:val="7EE06BE3"/>
    <w:rsid w:val="7EE96CFA"/>
    <w:rsid w:val="7EEB192A"/>
    <w:rsid w:val="7EF74FC9"/>
    <w:rsid w:val="7F003862"/>
    <w:rsid w:val="7F1B4BCD"/>
    <w:rsid w:val="7F26650D"/>
    <w:rsid w:val="7F2D136F"/>
    <w:rsid w:val="7F3B62BB"/>
    <w:rsid w:val="7F3C0278"/>
    <w:rsid w:val="7F3C1C5A"/>
    <w:rsid w:val="7F434E58"/>
    <w:rsid w:val="7F581117"/>
    <w:rsid w:val="7F5A6F5D"/>
    <w:rsid w:val="7F6A7EBA"/>
    <w:rsid w:val="7F7555D3"/>
    <w:rsid w:val="7F835DD8"/>
    <w:rsid w:val="7F884BBF"/>
    <w:rsid w:val="7F8E7DB7"/>
    <w:rsid w:val="7F91105D"/>
    <w:rsid w:val="7F99626C"/>
    <w:rsid w:val="7F9B3CF4"/>
    <w:rsid w:val="7F9F66B7"/>
    <w:rsid w:val="7FAB61E8"/>
    <w:rsid w:val="7FB728BE"/>
    <w:rsid w:val="7FB73A55"/>
    <w:rsid w:val="7FD132E3"/>
    <w:rsid w:val="7FD27E51"/>
    <w:rsid w:val="7FD64A53"/>
    <w:rsid w:val="7FD74B2D"/>
    <w:rsid w:val="7FE84D89"/>
    <w:rsid w:val="7FEE3FE2"/>
    <w:rsid w:val="7FEE59C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toc 1" w:semiHidden="0" w:uiPriority="39" w:qFormat="1"/>
    <w:lsdException w:name="toc 2" w:semiHidden="0" w:uiPriority="39" w:qFormat="1"/>
    <w:lsdException w:name="annotation text" w:semiHidden="0" w:uiPriority="0" w:qFormat="1"/>
    <w:lsdException w:name="header" w:uiPriority="0" w:unhideWhenUsed="0" w:qFormat="1"/>
    <w:lsdException w:name="footer" w:semiHidden="0" w:qFormat="1"/>
    <w:lsdException w:name="caption" w:semiHidden="0" w:uiPriority="0" w:unhideWhenUsed="0" w:qFormat="1"/>
    <w:lsdException w:name="table of figures" w:qFormat="1"/>
    <w:lsdException w:name="annotation reference" w:qFormat="1"/>
    <w:lsdException w:name="Title" w:semiHidden="0" w:unhideWhenUsed="0"/>
    <w:lsdException w:name="Default Paragraph Font" w:uiPriority="1"/>
    <w:lsdException w:name="Subtitle" w:semiHidden="0" w:unhideWhenUsed="0"/>
    <w:lsdException w:name="Hyperlink" w:semiHidden="0" w:qFormat="1"/>
    <w:lsdException w:name="Strong" w:semiHidden="0" w:unhideWhenUsed="0"/>
    <w:lsdException w:name="Emphasis" w:semiHidden="0" w:unhideWhenUsed="0"/>
    <w:lsdException w:name="annotation subject" w:qFormat="1"/>
    <w:lsdException w:name="Balloon Text"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5DD6"/>
    <w:pPr>
      <w:spacing w:beforeLines="50" w:afterLines="50"/>
      <w:jc w:val="both"/>
    </w:pPr>
    <w:rPr>
      <w:rFonts w:eastAsia="SimSun"/>
      <w:kern w:val="2"/>
      <w:sz w:val="21"/>
    </w:rPr>
  </w:style>
  <w:style w:type="paragraph" w:styleId="Heading1">
    <w:name w:val="heading 1"/>
    <w:basedOn w:val="Normal"/>
    <w:next w:val="Normal"/>
    <w:qFormat/>
    <w:rsid w:val="00985DD6"/>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qFormat/>
    <w:rsid w:val="00985DD6"/>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qFormat/>
    <w:rsid w:val="00985DD6"/>
    <w:pPr>
      <w:numPr>
        <w:ilvl w:val="2"/>
      </w:numPr>
      <w:spacing w:before="120"/>
      <w:ind w:left="0"/>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qFormat/>
    <w:rsid w:val="00985DD6"/>
    <w:pPr>
      <w:spacing w:line="240" w:lineRule="auto"/>
      <w:jc w:val="both"/>
    </w:pPr>
    <w:rPr>
      <w:b/>
      <w:bCs/>
      <w:sz w:val="20"/>
    </w:rPr>
  </w:style>
  <w:style w:type="paragraph" w:styleId="CommentText">
    <w:name w:val="annotation text"/>
    <w:basedOn w:val="Normal"/>
    <w:link w:val="CommentTextChar"/>
    <w:unhideWhenUsed/>
    <w:qFormat/>
    <w:rsid w:val="00985DD6"/>
    <w:pPr>
      <w:jc w:val="left"/>
    </w:pPr>
  </w:style>
  <w:style w:type="paragraph" w:styleId="Caption">
    <w:name w:val="caption"/>
    <w:basedOn w:val="Normal"/>
    <w:next w:val="Normal"/>
    <w:qFormat/>
    <w:rsid w:val="00985DD6"/>
    <w:pPr>
      <w:overflowPunct w:val="0"/>
      <w:autoSpaceDE w:val="0"/>
      <w:autoSpaceDN w:val="0"/>
      <w:adjustRightInd w:val="0"/>
      <w:spacing w:before="120" w:after="120"/>
      <w:textAlignment w:val="baseline"/>
    </w:pPr>
    <w:rPr>
      <w:b/>
    </w:rPr>
  </w:style>
  <w:style w:type="paragraph" w:styleId="BalloonText">
    <w:name w:val="Balloon Text"/>
    <w:basedOn w:val="Normal"/>
    <w:link w:val="BalloonTextChar"/>
    <w:uiPriority w:val="99"/>
    <w:semiHidden/>
    <w:unhideWhenUsed/>
    <w:qFormat/>
    <w:rsid w:val="00985DD6"/>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rsid w:val="00985DD6"/>
    <w:pPr>
      <w:tabs>
        <w:tab w:val="center" w:pos="4153"/>
        <w:tab w:val="right" w:pos="8306"/>
      </w:tabs>
      <w:snapToGrid w:val="0"/>
      <w:jc w:val="left"/>
    </w:pPr>
    <w:rPr>
      <w:sz w:val="18"/>
      <w:szCs w:val="18"/>
    </w:rPr>
  </w:style>
  <w:style w:type="paragraph" w:styleId="Header">
    <w:name w:val="header"/>
    <w:basedOn w:val="Normal"/>
    <w:semiHidden/>
    <w:qFormat/>
    <w:rsid w:val="00985DD6"/>
    <w:pPr>
      <w:tabs>
        <w:tab w:val="center" w:pos="4680"/>
        <w:tab w:val="right" w:pos="9360"/>
      </w:tabs>
      <w:spacing w:after="0"/>
    </w:pPr>
  </w:style>
  <w:style w:type="paragraph" w:styleId="TOC1">
    <w:name w:val="toc 1"/>
    <w:basedOn w:val="Normal"/>
    <w:next w:val="Normal"/>
    <w:uiPriority w:val="39"/>
    <w:unhideWhenUsed/>
    <w:qFormat/>
    <w:rsid w:val="00985DD6"/>
    <w:rPr>
      <w:rFonts w:eastAsiaTheme="minorEastAsia"/>
      <w:b/>
      <w:i/>
      <w:sz w:val="20"/>
    </w:rPr>
  </w:style>
  <w:style w:type="paragraph" w:styleId="TableofFigures">
    <w:name w:val="table of figures"/>
    <w:basedOn w:val="Normal"/>
    <w:next w:val="Normal"/>
    <w:uiPriority w:val="99"/>
    <w:semiHidden/>
    <w:unhideWhenUsed/>
    <w:qFormat/>
    <w:rsid w:val="00985DD6"/>
    <w:pPr>
      <w:ind w:leftChars="200" w:left="200" w:hangingChars="200" w:hanging="200"/>
    </w:pPr>
  </w:style>
  <w:style w:type="paragraph" w:styleId="TOC2">
    <w:name w:val="toc 2"/>
    <w:basedOn w:val="Normal"/>
    <w:next w:val="Normal"/>
    <w:uiPriority w:val="39"/>
    <w:unhideWhenUsed/>
    <w:qFormat/>
    <w:rsid w:val="00985DD6"/>
    <w:pPr>
      <w:ind w:leftChars="200" w:left="420"/>
    </w:pPr>
    <w:rPr>
      <w:b/>
      <w:i/>
      <w:sz w:val="20"/>
    </w:rPr>
  </w:style>
  <w:style w:type="character" w:styleId="Hyperlink">
    <w:name w:val="Hyperlink"/>
    <w:basedOn w:val="DefaultParagraphFont"/>
    <w:uiPriority w:val="99"/>
    <w:unhideWhenUsed/>
    <w:qFormat/>
    <w:rsid w:val="00985DD6"/>
    <w:rPr>
      <w:color w:val="0000FF" w:themeColor="hyperlink"/>
      <w:u w:val="single"/>
    </w:rPr>
  </w:style>
  <w:style w:type="character" w:styleId="CommentReference">
    <w:name w:val="annotation reference"/>
    <w:basedOn w:val="DefaultParagraphFont"/>
    <w:uiPriority w:val="99"/>
    <w:semiHidden/>
    <w:unhideWhenUsed/>
    <w:qFormat/>
    <w:rsid w:val="00985DD6"/>
    <w:rPr>
      <w:sz w:val="16"/>
      <w:szCs w:val="16"/>
    </w:rPr>
  </w:style>
  <w:style w:type="table" w:styleId="TableGrid">
    <w:name w:val="Table Grid"/>
    <w:basedOn w:val="TableNormal"/>
    <w:uiPriority w:val="59"/>
    <w:qFormat/>
    <w:rsid w:val="00985DD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YJ-">
    <w:name w:val="YJ-项目一级"/>
    <w:basedOn w:val="Normal"/>
    <w:next w:val="YJ--"/>
    <w:qFormat/>
    <w:rsid w:val="00985DD6"/>
    <w:pPr>
      <w:numPr>
        <w:numId w:val="2"/>
      </w:numPr>
      <w:spacing w:after="100"/>
    </w:pPr>
    <w:rPr>
      <w:rFonts w:cs="SimSun"/>
      <w:b/>
    </w:rPr>
  </w:style>
  <w:style w:type="paragraph" w:customStyle="1" w:styleId="YJ--">
    <w:name w:val="YJ--正文"/>
    <w:basedOn w:val="Normal"/>
    <w:qFormat/>
    <w:rsid w:val="00985DD6"/>
    <w:pPr>
      <w:spacing w:line="240" w:lineRule="auto"/>
      <w:ind w:firstLineChars="200" w:firstLine="1440"/>
    </w:pPr>
    <w:rPr>
      <w:rFonts w:eastAsia="Times New Roman" w:cs="SimSun"/>
    </w:rPr>
  </w:style>
  <w:style w:type="paragraph" w:customStyle="1" w:styleId="YJ-0">
    <w:name w:val="YJ-项目三级"/>
    <w:basedOn w:val="Normal"/>
    <w:next w:val="YJ--"/>
    <w:qFormat/>
    <w:rsid w:val="00985DD6"/>
    <w:pPr>
      <w:numPr>
        <w:numId w:val="3"/>
      </w:numPr>
      <w:spacing w:after="100"/>
      <w:ind w:left="0" w:firstLine="794"/>
    </w:pPr>
    <w:rPr>
      <w:rFonts w:cs="SimSun"/>
    </w:rPr>
  </w:style>
  <w:style w:type="paragraph" w:customStyle="1" w:styleId="YJ-1">
    <w:name w:val="YJ-项目二级"/>
    <w:basedOn w:val="Normal"/>
    <w:next w:val="YJ--"/>
    <w:qFormat/>
    <w:rsid w:val="00985DD6"/>
    <w:pPr>
      <w:numPr>
        <w:numId w:val="4"/>
      </w:numPr>
      <w:ind w:left="0" w:firstLine="425"/>
    </w:pPr>
    <w:rPr>
      <w:rFonts w:cs="SimSun"/>
    </w:rPr>
  </w:style>
  <w:style w:type="paragraph" w:customStyle="1" w:styleId="YJ-Proposal">
    <w:name w:val="YJ-Proposal"/>
    <w:basedOn w:val="Normal"/>
    <w:qFormat/>
    <w:rsid w:val="00985DD6"/>
    <w:pPr>
      <w:numPr>
        <w:numId w:val="5"/>
      </w:numPr>
    </w:pPr>
    <w:rPr>
      <w:rFonts w:eastAsiaTheme="minorEastAsia"/>
      <w:b/>
      <w:bCs/>
      <w:i/>
      <w:iCs/>
      <w:sz w:val="20"/>
      <w:lang w:val="en-GB" w:eastAsia="en-US"/>
    </w:rPr>
  </w:style>
  <w:style w:type="paragraph" w:customStyle="1" w:styleId="YJ-Observation">
    <w:name w:val="YJ-Observation"/>
    <w:basedOn w:val="YJ-Proposal"/>
    <w:qFormat/>
    <w:rsid w:val="00985DD6"/>
    <w:pPr>
      <w:numPr>
        <w:numId w:val="6"/>
      </w:numPr>
      <w:tabs>
        <w:tab w:val="left" w:pos="420"/>
      </w:tabs>
    </w:pPr>
  </w:style>
  <w:style w:type="paragraph" w:customStyle="1" w:styleId="sub-proposal">
    <w:name w:val="sub-proposal"/>
    <w:basedOn w:val="YJ-Proposal"/>
    <w:next w:val="Normal"/>
    <w:qFormat/>
    <w:rsid w:val="00985DD6"/>
    <w:pPr>
      <w:numPr>
        <w:numId w:val="7"/>
      </w:numPr>
    </w:pPr>
  </w:style>
  <w:style w:type="paragraph" w:customStyle="1" w:styleId="sub-observation">
    <w:name w:val="sub-observation"/>
    <w:basedOn w:val="sub-proposal"/>
    <w:next w:val="Normal"/>
    <w:qFormat/>
    <w:rsid w:val="00985DD6"/>
  </w:style>
  <w:style w:type="paragraph" w:customStyle="1" w:styleId="References">
    <w:name w:val="References"/>
    <w:basedOn w:val="Normal"/>
    <w:qFormat/>
    <w:rsid w:val="00985DD6"/>
    <w:pPr>
      <w:numPr>
        <w:numId w:val="8"/>
      </w:numPr>
      <w:spacing w:after="60"/>
    </w:pPr>
    <w:rPr>
      <w:szCs w:val="16"/>
    </w:rPr>
  </w:style>
  <w:style w:type="paragraph" w:styleId="ListParagraph">
    <w:name w:val="List Paragraph"/>
    <w:basedOn w:val="Normal"/>
    <w:uiPriority w:val="34"/>
    <w:qFormat/>
    <w:rsid w:val="00985DD6"/>
    <w:pPr>
      <w:spacing w:beforeLines="0" w:after="0" w:line="240" w:lineRule="auto"/>
      <w:ind w:left="720"/>
      <w:contextualSpacing/>
    </w:pPr>
    <w:rPr>
      <w:rFonts w:eastAsia="Times New Roman"/>
      <w:sz w:val="24"/>
      <w:szCs w:val="24"/>
    </w:rPr>
  </w:style>
  <w:style w:type="paragraph" w:customStyle="1" w:styleId="1">
    <w:name w:val="样式1"/>
    <w:basedOn w:val="Normal"/>
    <w:qFormat/>
    <w:rsid w:val="00985DD6"/>
  </w:style>
  <w:style w:type="paragraph" w:customStyle="1" w:styleId="Style1">
    <w:name w:val="Style1"/>
    <w:basedOn w:val="Normal"/>
    <w:qFormat/>
    <w:rsid w:val="00985DD6"/>
    <w:pPr>
      <w:spacing w:after="100" w:afterAutospacing="1" w:line="300" w:lineRule="auto"/>
      <w:ind w:firstLine="360"/>
      <w:contextualSpacing/>
    </w:pPr>
  </w:style>
  <w:style w:type="paragraph" w:customStyle="1" w:styleId="TAH">
    <w:name w:val="TAH"/>
    <w:basedOn w:val="TAC"/>
    <w:qFormat/>
    <w:rsid w:val="00985DD6"/>
    <w:rPr>
      <w:b/>
    </w:rPr>
  </w:style>
  <w:style w:type="paragraph" w:customStyle="1" w:styleId="TAC">
    <w:name w:val="TAC"/>
    <w:basedOn w:val="TAL"/>
    <w:qFormat/>
    <w:rsid w:val="00985DD6"/>
    <w:pPr>
      <w:jc w:val="center"/>
    </w:pPr>
  </w:style>
  <w:style w:type="paragraph" w:customStyle="1" w:styleId="TAL">
    <w:name w:val="TAL"/>
    <w:basedOn w:val="Normal"/>
    <w:qFormat/>
    <w:rsid w:val="00985DD6"/>
    <w:pPr>
      <w:keepNext/>
      <w:keepLines/>
      <w:spacing w:after="0"/>
    </w:pPr>
    <w:rPr>
      <w:rFonts w:ascii="Arial" w:eastAsia="MS Mincho" w:hAnsi="Arial"/>
      <w:sz w:val="18"/>
    </w:rPr>
  </w:style>
  <w:style w:type="paragraph" w:customStyle="1" w:styleId="TAN">
    <w:name w:val="TAN"/>
    <w:basedOn w:val="TAL"/>
    <w:qFormat/>
    <w:rsid w:val="00985DD6"/>
    <w:pPr>
      <w:ind w:left="851" w:hanging="851"/>
    </w:pPr>
  </w:style>
  <w:style w:type="paragraph" w:customStyle="1" w:styleId="LGTdoc">
    <w:name w:val="LGTdoc_본문"/>
    <w:basedOn w:val="Normal"/>
    <w:qFormat/>
    <w:rsid w:val="00985DD6"/>
    <w:pPr>
      <w:widowControl w:val="0"/>
      <w:autoSpaceDE w:val="0"/>
      <w:autoSpaceDN w:val="0"/>
      <w:adjustRightInd w:val="0"/>
      <w:snapToGrid w:val="0"/>
      <w:spacing w:line="264" w:lineRule="auto"/>
    </w:pPr>
    <w:rPr>
      <w:sz w:val="22"/>
      <w:lang w:eastAsia="ko-KR"/>
    </w:rPr>
  </w:style>
  <w:style w:type="character" w:customStyle="1" w:styleId="BalloonTextChar">
    <w:name w:val="Balloon Text Char"/>
    <w:basedOn w:val="DefaultParagraphFont"/>
    <w:link w:val="BalloonText"/>
    <w:uiPriority w:val="99"/>
    <w:semiHidden/>
    <w:qFormat/>
    <w:rsid w:val="00985DD6"/>
    <w:rPr>
      <w:rFonts w:ascii="Segoe UI" w:hAnsi="Segoe UI" w:cs="Segoe UI"/>
      <w:kern w:val="2"/>
      <w:sz w:val="18"/>
      <w:szCs w:val="18"/>
    </w:rPr>
  </w:style>
  <w:style w:type="character" w:customStyle="1" w:styleId="FooterChar">
    <w:name w:val="Footer Char"/>
    <w:basedOn w:val="DefaultParagraphFont"/>
    <w:link w:val="Footer"/>
    <w:uiPriority w:val="99"/>
    <w:qFormat/>
    <w:rsid w:val="00985DD6"/>
    <w:rPr>
      <w:kern w:val="2"/>
      <w:sz w:val="18"/>
      <w:szCs w:val="18"/>
    </w:rPr>
  </w:style>
  <w:style w:type="character" w:customStyle="1" w:styleId="CommentTextChar">
    <w:name w:val="Comment Text Char"/>
    <w:basedOn w:val="DefaultParagraphFont"/>
    <w:link w:val="CommentText"/>
    <w:qFormat/>
    <w:rsid w:val="00985DD6"/>
    <w:rPr>
      <w:kern w:val="2"/>
      <w:sz w:val="21"/>
    </w:rPr>
  </w:style>
  <w:style w:type="character" w:customStyle="1" w:styleId="CommentSubjectChar">
    <w:name w:val="Comment Subject Char"/>
    <w:basedOn w:val="CommentTextChar"/>
    <w:link w:val="CommentSubject"/>
    <w:uiPriority w:val="99"/>
    <w:semiHidden/>
    <w:qFormat/>
    <w:rsid w:val="00985DD6"/>
    <w:rPr>
      <w:b/>
      <w:bCs/>
      <w:kern w:val="2"/>
      <w:sz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wmf"/><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oter" Target="footer2.xml"/><Relationship Id="rId10" Type="http://schemas.openxmlformats.org/officeDocument/2006/relationships/image" Target="media/image3.emf"/><Relationship Id="rId19" Type="http://schemas.openxmlformats.org/officeDocument/2006/relationships/image" Target="media/image11.w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16</Pages>
  <Words>6570</Words>
  <Characters>35177</Characters>
  <Application>Microsoft Office Word</Application>
  <DocSecurity>0</DocSecurity>
  <Lines>293</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25</cp:revision>
  <dcterms:created xsi:type="dcterms:W3CDTF">2019-04-08T03:09:00Z</dcterms:created>
  <dcterms:modified xsi:type="dcterms:W3CDTF">2019-10-01T03:23:00Z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